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36DA8" w14:textId="77777777" w:rsidR="003741D9" w:rsidRPr="001901AF" w:rsidRDefault="003741D9" w:rsidP="00CE127D">
      <w:bookmarkStart w:id="0" w:name="_GoBack"/>
      <w:bookmarkEnd w:id="0"/>
    </w:p>
    <w:p w14:paraId="5E628EC9" w14:textId="77777777" w:rsidR="003741D9" w:rsidRDefault="003741D9" w:rsidP="00CE127D"/>
    <w:p w14:paraId="060C9D2C" w14:textId="77777777" w:rsidR="00C65C53" w:rsidRPr="00025F4C" w:rsidRDefault="00D36711" w:rsidP="00D36711">
      <w:pPr>
        <w:rPr>
          <w:rStyle w:val="Emphaseple"/>
          <w:rFonts w:cstheme="minorHAnsi"/>
          <w:b/>
          <w:i w:val="0"/>
          <w:sz w:val="48"/>
          <w:szCs w:val="36"/>
          <w:lang w:val="en-US"/>
        </w:rPr>
      </w:pPr>
      <w:r w:rsidRPr="00025F4C">
        <w:rPr>
          <w:rStyle w:val="Emphaseple"/>
          <w:rFonts w:cstheme="minorHAnsi"/>
          <w:b/>
          <w:i w:val="0"/>
          <w:sz w:val="48"/>
          <w:szCs w:val="36"/>
          <w:lang w:val="en-US"/>
        </w:rPr>
        <w:t>Comparison of enrichment methods for efficient nitrogen fixation on a biocathode</w:t>
      </w:r>
    </w:p>
    <w:p w14:paraId="2CF666E5" w14:textId="77777777" w:rsidR="00CE14D8" w:rsidRPr="00025F4C" w:rsidRDefault="00CE14D8" w:rsidP="00D36711">
      <w:pPr>
        <w:rPr>
          <w:rStyle w:val="Emphaseple"/>
          <w:rFonts w:cstheme="minorHAnsi"/>
          <w:b/>
          <w:i w:val="0"/>
          <w:sz w:val="32"/>
          <w:szCs w:val="36"/>
          <w:lang w:val="en-US"/>
        </w:rPr>
      </w:pPr>
    </w:p>
    <w:p w14:paraId="03D624BB" w14:textId="77777777" w:rsidR="00C65C53" w:rsidRDefault="00D36711" w:rsidP="00CE127D">
      <w:pPr>
        <w:rPr>
          <w:rFonts w:cstheme="minorHAnsi"/>
          <w:sz w:val="32"/>
        </w:rPr>
      </w:pPr>
      <w:r w:rsidRPr="00D36711">
        <w:rPr>
          <w:rFonts w:cstheme="minorHAnsi"/>
          <w:sz w:val="32"/>
        </w:rPr>
        <w:t>Axel Rous</w:t>
      </w:r>
      <w:r w:rsidRPr="00D36711">
        <w:rPr>
          <w:rFonts w:cstheme="minorHAnsi"/>
          <w:sz w:val="32"/>
          <w:vertAlign w:val="superscript"/>
        </w:rPr>
        <w:t>1</w:t>
      </w:r>
      <w:r w:rsidRPr="00D36711">
        <w:rPr>
          <w:rFonts w:cstheme="minorHAnsi"/>
          <w:sz w:val="32"/>
        </w:rPr>
        <w:t>, Gaëlle Santa-Catalina</w:t>
      </w:r>
      <w:r w:rsidRPr="00D36711">
        <w:rPr>
          <w:rFonts w:cstheme="minorHAnsi"/>
          <w:sz w:val="32"/>
          <w:vertAlign w:val="superscript"/>
        </w:rPr>
        <w:t>1</w:t>
      </w:r>
      <w:r w:rsidRPr="00D36711">
        <w:rPr>
          <w:rFonts w:cstheme="minorHAnsi"/>
          <w:sz w:val="32"/>
        </w:rPr>
        <w:t>, Elie Desmond-Le Quémener</w:t>
      </w:r>
      <w:r w:rsidRPr="00D36711">
        <w:rPr>
          <w:rFonts w:cstheme="minorHAnsi"/>
          <w:sz w:val="32"/>
          <w:vertAlign w:val="superscript"/>
        </w:rPr>
        <w:t>1</w:t>
      </w:r>
      <w:r w:rsidRPr="00D36711">
        <w:rPr>
          <w:rFonts w:cstheme="minorHAnsi"/>
          <w:sz w:val="32"/>
        </w:rPr>
        <w:t>, Eric Trably</w:t>
      </w:r>
      <w:r w:rsidRPr="00D36711">
        <w:rPr>
          <w:rFonts w:cstheme="minorHAnsi"/>
          <w:sz w:val="32"/>
          <w:vertAlign w:val="superscript"/>
        </w:rPr>
        <w:t>1</w:t>
      </w:r>
      <w:r w:rsidRPr="00D36711">
        <w:rPr>
          <w:rFonts w:cstheme="minorHAnsi"/>
          <w:sz w:val="32"/>
        </w:rPr>
        <w:t>, Nicolas Bernet</w:t>
      </w:r>
      <w:r w:rsidRPr="00D36711">
        <w:rPr>
          <w:rFonts w:cstheme="minorHAnsi"/>
          <w:sz w:val="32"/>
          <w:vertAlign w:val="superscript"/>
        </w:rPr>
        <w:t>1</w:t>
      </w:r>
    </w:p>
    <w:p w14:paraId="494BBCA0" w14:textId="77777777" w:rsidR="00CE14D8" w:rsidRPr="00CE14D8" w:rsidRDefault="00CE14D8" w:rsidP="00CE14D8">
      <w:pPr>
        <w:tabs>
          <w:tab w:val="left" w:pos="1575"/>
        </w:tabs>
        <w:rPr>
          <w:rFonts w:cstheme="minorHAnsi"/>
          <w:szCs w:val="28"/>
        </w:rPr>
      </w:pPr>
      <w:r>
        <w:rPr>
          <w:rFonts w:cstheme="minorHAnsi"/>
          <w:sz w:val="32"/>
          <w:szCs w:val="28"/>
        </w:rPr>
        <w:tab/>
      </w:r>
    </w:p>
    <w:p w14:paraId="799023C8" w14:textId="2EC2F4AD" w:rsidR="00C65C53" w:rsidRPr="00D36711" w:rsidRDefault="00C65C53" w:rsidP="00CE127D">
      <w:pPr>
        <w:rPr>
          <w:rFonts w:cstheme="minorHAnsi"/>
          <w:sz w:val="20"/>
        </w:rPr>
      </w:pPr>
      <w:r w:rsidRPr="00D36711">
        <w:rPr>
          <w:rFonts w:cstheme="minorHAnsi"/>
          <w:sz w:val="20"/>
          <w:vertAlign w:val="superscript"/>
        </w:rPr>
        <w:t>1</w:t>
      </w:r>
      <w:r w:rsidRPr="00D36711">
        <w:rPr>
          <w:rFonts w:cstheme="minorHAnsi"/>
          <w:sz w:val="20"/>
        </w:rPr>
        <w:t xml:space="preserve"> </w:t>
      </w:r>
      <w:r w:rsidR="00D36711" w:rsidRPr="00D36711">
        <w:rPr>
          <w:rFonts w:cstheme="minorHAnsi"/>
          <w:sz w:val="20"/>
        </w:rPr>
        <w:t>INRAE, Univ Montpellier, LBE, 102 avenue des Étangs, 11100 Narbonne, France</w:t>
      </w:r>
    </w:p>
    <w:p w14:paraId="29B9B1CF" w14:textId="77777777" w:rsidR="006C2EA3" w:rsidRPr="00D36711" w:rsidRDefault="006C2EA3" w:rsidP="00CE127D">
      <w:pPr>
        <w:rPr>
          <w:rFonts w:cstheme="minorHAnsi"/>
          <w:sz w:val="20"/>
        </w:rPr>
      </w:pPr>
    </w:p>
    <w:p w14:paraId="53E7194E" w14:textId="77777777" w:rsidR="00BA20F9" w:rsidRPr="00025F4C" w:rsidRDefault="00BA20F9" w:rsidP="00CE127D">
      <w:pPr>
        <w:rPr>
          <w:rFonts w:cstheme="minorHAnsi"/>
          <w:sz w:val="20"/>
          <w:lang w:val="en-US"/>
        </w:rPr>
      </w:pPr>
      <w:r w:rsidRPr="00025F4C">
        <w:rPr>
          <w:rFonts w:cstheme="minorHAnsi"/>
          <w:sz w:val="20"/>
          <w:lang w:val="en-US"/>
        </w:rPr>
        <w:t>*Corresponding author</w:t>
      </w:r>
    </w:p>
    <w:p w14:paraId="63C2ADA2" w14:textId="77777777" w:rsidR="006C2EA3" w:rsidRPr="00025F4C" w:rsidRDefault="006C2EA3" w:rsidP="00CE127D">
      <w:pPr>
        <w:rPr>
          <w:rFonts w:cstheme="minorHAnsi"/>
          <w:sz w:val="20"/>
          <w:lang w:val="en-US"/>
        </w:rPr>
      </w:pPr>
      <w:r w:rsidRPr="00025F4C">
        <w:rPr>
          <w:rFonts w:cstheme="minorHAnsi"/>
          <w:sz w:val="20"/>
          <w:lang w:val="en-US"/>
        </w:rPr>
        <w:t>Correspondence:</w:t>
      </w:r>
      <w:r w:rsidR="00D36711" w:rsidRPr="00025F4C">
        <w:rPr>
          <w:rFonts w:cstheme="minorHAnsi"/>
          <w:sz w:val="20"/>
          <w:lang w:val="en-US"/>
        </w:rPr>
        <w:t>nicolas.bernet</w:t>
      </w:r>
      <w:r w:rsidRPr="00025F4C">
        <w:rPr>
          <w:rFonts w:cstheme="minorHAnsi"/>
          <w:sz w:val="20"/>
          <w:lang w:val="en-US"/>
        </w:rPr>
        <w:t>@</w:t>
      </w:r>
      <w:r w:rsidR="00D36711" w:rsidRPr="00025F4C">
        <w:rPr>
          <w:rFonts w:cstheme="minorHAnsi"/>
          <w:sz w:val="20"/>
          <w:lang w:val="en-US"/>
        </w:rPr>
        <w:t>inrae.fr</w:t>
      </w:r>
    </w:p>
    <w:p w14:paraId="3E8C1A0F" w14:textId="77777777" w:rsidR="00F947E1" w:rsidRPr="00025F4C" w:rsidRDefault="00F947E1" w:rsidP="00CE127D">
      <w:pPr>
        <w:ind w:left="-2127"/>
        <w:rPr>
          <w:rFonts w:cstheme="minorHAnsi"/>
          <w:sz w:val="28"/>
          <w:szCs w:val="28"/>
          <w:lang w:val="en-US"/>
        </w:rPr>
      </w:pPr>
    </w:p>
    <w:p w14:paraId="1FD0951B" w14:textId="77777777" w:rsidR="006C2EA3" w:rsidRPr="00025F4C" w:rsidRDefault="006C2EA3" w:rsidP="00CE127D">
      <w:pPr>
        <w:ind w:left="-2127"/>
        <w:rPr>
          <w:rFonts w:cstheme="minorHAnsi"/>
          <w:sz w:val="28"/>
          <w:szCs w:val="28"/>
          <w:lang w:val="en-US"/>
        </w:rPr>
      </w:pPr>
    </w:p>
    <w:p w14:paraId="1FF4F69E" w14:textId="77777777" w:rsidR="002224D3" w:rsidRPr="00025F4C" w:rsidRDefault="00C65C53" w:rsidP="00CE05E1">
      <w:pPr>
        <w:shd w:val="clear" w:color="auto" w:fill="76ADC9"/>
        <w:rPr>
          <w:rFonts w:cstheme="minorHAnsi"/>
          <w:b/>
          <w:smallCaps/>
          <w:sz w:val="28"/>
          <w:szCs w:val="21"/>
          <w:lang w:val="en-US"/>
        </w:rPr>
      </w:pPr>
      <w:r w:rsidRPr="00025F4C">
        <w:rPr>
          <w:rFonts w:cstheme="minorHAnsi"/>
          <w:b/>
          <w:smallCaps/>
          <w:sz w:val="28"/>
          <w:szCs w:val="21"/>
          <w:lang w:val="en-US"/>
        </w:rPr>
        <w:t>Abstract</w:t>
      </w:r>
    </w:p>
    <w:p w14:paraId="4DA594F0" w14:textId="6FB7E0D9" w:rsidR="00280604" w:rsidRPr="00025F4C" w:rsidRDefault="00EB659D" w:rsidP="00280604">
      <w:pPr>
        <w:shd w:val="clear" w:color="auto" w:fill="76ADC9"/>
        <w:spacing w:line="240" w:lineRule="auto"/>
        <w:jc w:val="both"/>
        <w:rPr>
          <w:rFonts w:cstheme="minorHAnsi"/>
          <w:iCs/>
          <w:szCs w:val="16"/>
          <w:lang w:val="en-US"/>
        </w:rPr>
      </w:pPr>
      <w:r w:rsidRPr="00025F4C">
        <w:rPr>
          <w:noProof/>
          <w:highlight w:val="yellow"/>
          <w:lang w:val="en-US"/>
        </w:rPr>
        <w:t>The production of nitrogen fertilizers in modern agriculture is mostly based on the Haber-Bosch process, representing nearly 2% of the total energy consumed in the world. Low-energy bioelectrochemical fixation of N</w:t>
      </w:r>
      <w:r w:rsidRPr="00025F4C">
        <w:rPr>
          <w:noProof/>
          <w:highlight w:val="yellow"/>
          <w:vertAlign w:val="subscript"/>
          <w:lang w:val="en-US"/>
        </w:rPr>
        <w:t>2</w:t>
      </w:r>
      <w:r w:rsidRPr="00025F4C">
        <w:rPr>
          <w:noProof/>
          <w:highlight w:val="yellow"/>
          <w:lang w:val="en-US"/>
        </w:rPr>
        <w:t xml:space="preserve"> to microbial biomass was previously observed but the mechanisms of microbial interactions in N</w:t>
      </w:r>
      <w:r w:rsidRPr="00025F4C">
        <w:rPr>
          <w:noProof/>
          <w:highlight w:val="yellow"/>
          <w:vertAlign w:val="subscript"/>
          <w:lang w:val="en-US"/>
        </w:rPr>
        <w:t>2</w:t>
      </w:r>
      <w:r w:rsidRPr="00025F4C">
        <w:rPr>
          <w:noProof/>
          <w:highlight w:val="yellow"/>
          <w:lang w:val="en-US"/>
        </w:rPr>
        <w:t>-fixing electroactive biofilms are still poorly understood. The present study aims to develop a new method of enrichment of autotrophic and diazotrophic bacteria from soil samples with a better electron source availability than using H</w:t>
      </w:r>
      <w:r w:rsidRPr="00025F4C">
        <w:rPr>
          <w:noProof/>
          <w:highlight w:val="yellow"/>
          <w:vertAlign w:val="subscript"/>
          <w:lang w:val="en-US"/>
        </w:rPr>
        <w:t>2</w:t>
      </w:r>
      <w:r w:rsidRPr="00025F4C">
        <w:rPr>
          <w:noProof/>
          <w:highlight w:val="yellow"/>
          <w:lang w:val="en-US"/>
        </w:rPr>
        <w:t xml:space="preserve"> alone. The enrichment method was based on a multi-stage procedure. The first enrichment step was specifically designed for the selection of N</w:t>
      </w:r>
      <w:r w:rsidRPr="00025F4C">
        <w:rPr>
          <w:noProof/>
          <w:highlight w:val="yellow"/>
          <w:vertAlign w:val="subscript"/>
          <w:lang w:val="en-US"/>
        </w:rPr>
        <w:t>2</w:t>
      </w:r>
      <w:r w:rsidRPr="00025F4C">
        <w:rPr>
          <w:noProof/>
          <w:highlight w:val="yellow"/>
          <w:lang w:val="en-US"/>
        </w:rPr>
        <w:t>-fixing bacteria from soil samples with organic C as electron and carbon source. Then, a polarized cathode was used for the enrichment of autotrophic bacteria using H</w:t>
      </w:r>
      <w:r w:rsidRPr="00025F4C">
        <w:rPr>
          <w:noProof/>
          <w:highlight w:val="yellow"/>
          <w:vertAlign w:val="subscript"/>
          <w:lang w:val="en-US"/>
        </w:rPr>
        <w:t>2</w:t>
      </w:r>
      <w:r w:rsidRPr="00025F4C">
        <w:rPr>
          <w:noProof/>
          <w:highlight w:val="yellow"/>
          <w:lang w:val="en-US"/>
        </w:rPr>
        <w:t xml:space="preserve"> (hydrogenotrophic) or the cathode as electron source. This enrichment was compared with an enrichment culture of pure diazotrophic hydrogenotrophic bacteria without the use of a microbial electrochemical system. Interestingly, both methods showed comparable results for N</w:t>
      </w:r>
      <w:r w:rsidRPr="00025F4C">
        <w:rPr>
          <w:noProof/>
          <w:highlight w:val="yellow"/>
          <w:vertAlign w:val="subscript"/>
          <w:lang w:val="en-US"/>
        </w:rPr>
        <w:t>2</w:t>
      </w:r>
      <w:r w:rsidRPr="00025F4C">
        <w:rPr>
          <w:noProof/>
          <w:highlight w:val="yellow"/>
          <w:lang w:val="en-US"/>
        </w:rPr>
        <w:t xml:space="preserve"> fixation rates at day 340 of the enrichment with an estimated average of approximately 0.2 mgN</w:t>
      </w:r>
      <w:r w:rsidRPr="00025F4C">
        <w:rPr>
          <w:noProof/>
          <w:highlight w:val="yellow"/>
          <w:vertAlign w:val="subscript"/>
          <w:lang w:val="en-US"/>
        </w:rPr>
        <w:t>fixed</w:t>
      </w:r>
      <w:r w:rsidRPr="00025F4C">
        <w:rPr>
          <w:noProof/>
          <w:highlight w:val="yellow"/>
          <w:lang w:val="en-US"/>
        </w:rPr>
        <w:t>/L.d. Current densities up to -15 A/m² were observed in the polarized cathode enrichments and a significant increase of the microbial biomass on the cathode was shown between 132 and 214 days of enrichment.These results confirmed an enrichment in autotrophic and diazotrophic bacteria on the polarized cathode. It was hypothesied that autotrophic bacteria were able to use either the H</w:t>
      </w:r>
      <w:r w:rsidRPr="00025F4C">
        <w:rPr>
          <w:noProof/>
          <w:highlight w:val="yellow"/>
          <w:vertAlign w:val="subscript"/>
          <w:lang w:val="en-US"/>
        </w:rPr>
        <w:t>2</w:t>
      </w:r>
      <w:r w:rsidRPr="00025F4C">
        <w:rPr>
          <w:noProof/>
          <w:highlight w:val="yellow"/>
          <w:lang w:val="en-US"/>
        </w:rPr>
        <w:t xml:space="preserve"> produced at the cathode or directly the cathode through direct electron transfer (DET) as more biomass was produced than with H</w:t>
      </w:r>
      <w:r w:rsidRPr="00025F4C">
        <w:rPr>
          <w:noProof/>
          <w:highlight w:val="yellow"/>
          <w:vertAlign w:val="subscript"/>
          <w:lang w:val="en-US"/>
        </w:rPr>
        <w:t>2</w:t>
      </w:r>
      <w:r w:rsidRPr="00025F4C">
        <w:rPr>
          <w:noProof/>
          <w:highlight w:val="yellow"/>
          <w:lang w:val="en-US"/>
        </w:rPr>
        <w:t xml:space="preserve"> alone. Finally, the analysis of the enriched communities suggested that </w:t>
      </w:r>
      <w:r w:rsidRPr="00025F4C">
        <w:rPr>
          <w:i/>
          <w:noProof/>
          <w:highlight w:val="yellow"/>
          <w:lang w:val="en-US"/>
        </w:rPr>
        <w:t>Desulforamulus ruminis</w:t>
      </w:r>
      <w:r w:rsidRPr="00025F4C">
        <w:rPr>
          <w:noProof/>
          <w:highlight w:val="yellow"/>
          <w:lang w:val="en-US"/>
        </w:rPr>
        <w:t xml:space="preserve"> mediated microbial interactions between autotrophic anaerobic and heterotrophic aerobic bacteria in polarized cathode enrichment. These interactions could play a key role in the development of biomass in these systems and on N</w:t>
      </w:r>
      <w:r w:rsidRPr="00025F4C">
        <w:rPr>
          <w:noProof/>
          <w:highlight w:val="yellow"/>
          <w:vertAlign w:val="subscript"/>
          <w:lang w:val="en-US"/>
        </w:rPr>
        <w:t>2</w:t>
      </w:r>
      <w:r w:rsidRPr="00025F4C">
        <w:rPr>
          <w:noProof/>
          <w:highlight w:val="yellow"/>
          <w:lang w:val="en-US"/>
        </w:rPr>
        <w:t xml:space="preserve"> fixation. Based on these findings, a conceptual model on the functioning of mixed cultures N</w:t>
      </w:r>
      <w:r w:rsidRPr="00025F4C">
        <w:rPr>
          <w:noProof/>
          <w:highlight w:val="yellow"/>
          <w:vertAlign w:val="subscript"/>
          <w:lang w:val="en-US"/>
        </w:rPr>
        <w:t>2</w:t>
      </w:r>
      <w:r w:rsidRPr="00025F4C">
        <w:rPr>
          <w:noProof/>
          <w:highlight w:val="yellow"/>
          <w:lang w:val="en-US"/>
        </w:rPr>
        <w:t>-fixing electroactive biofilms was proposed.</w:t>
      </w:r>
    </w:p>
    <w:p w14:paraId="7A577D41" w14:textId="77777777" w:rsidR="00484108" w:rsidRPr="00025F4C" w:rsidRDefault="00C65C53" w:rsidP="00CE127D">
      <w:pPr>
        <w:shd w:val="clear" w:color="auto" w:fill="76ADC9"/>
        <w:rPr>
          <w:rFonts w:cstheme="minorHAnsi"/>
          <w:szCs w:val="16"/>
          <w:lang w:val="en-US"/>
        </w:rPr>
      </w:pPr>
      <w:r w:rsidRPr="00025F4C">
        <w:rPr>
          <w:rFonts w:cstheme="minorHAnsi"/>
          <w:b/>
          <w:i/>
          <w:szCs w:val="16"/>
          <w:lang w:val="en-US"/>
        </w:rPr>
        <w:lastRenderedPageBreak/>
        <w:t>Keywords:</w:t>
      </w:r>
      <w:r w:rsidRPr="00025F4C">
        <w:rPr>
          <w:rFonts w:cstheme="minorHAnsi"/>
          <w:szCs w:val="16"/>
          <w:lang w:val="en-US"/>
        </w:rPr>
        <w:t xml:space="preserve"> </w:t>
      </w:r>
      <w:r w:rsidR="00D36711" w:rsidRPr="00025F4C">
        <w:rPr>
          <w:rFonts w:cstheme="minorHAnsi"/>
          <w:szCs w:val="16"/>
          <w:lang w:val="en-US"/>
        </w:rPr>
        <w:t>Nitrogen fixation, Microbial electrochemical system, Biomass electrostimulation, Enrichment method</w:t>
      </w:r>
    </w:p>
    <w:p w14:paraId="096D16B6" w14:textId="77777777" w:rsidR="005D7916" w:rsidRPr="003A557F" w:rsidRDefault="005D7916" w:rsidP="00CE127D">
      <w:pPr>
        <w:pStyle w:val="PCJtext"/>
        <w:rPr>
          <w:sz w:val="28"/>
        </w:rPr>
      </w:pPr>
    </w:p>
    <w:p w14:paraId="390CED67" w14:textId="77777777" w:rsidR="005D7916" w:rsidRDefault="005D7916" w:rsidP="00CE127D">
      <w:pPr>
        <w:pStyle w:val="PCJtext"/>
        <w:ind w:firstLine="0"/>
      </w:pPr>
    </w:p>
    <w:p w14:paraId="3FFC657B" w14:textId="77777777" w:rsidR="00707C2E" w:rsidRPr="00025F4C" w:rsidRDefault="00707C2E" w:rsidP="00CE127D">
      <w:pPr>
        <w:rPr>
          <w:b/>
          <w:sz w:val="24"/>
          <w:lang w:val="en-US"/>
        </w:rPr>
      </w:pPr>
      <w:bookmarkStart w:id="1" w:name="_Toc99629444"/>
      <w:r w:rsidRPr="00025F4C">
        <w:rPr>
          <w:lang w:val="en-US"/>
        </w:rPr>
        <w:br w:type="page"/>
      </w:r>
    </w:p>
    <w:p w14:paraId="50CDEA16" w14:textId="77777777" w:rsidR="002B68D3" w:rsidRPr="002B68D3" w:rsidRDefault="002B68D3" w:rsidP="00CE127D">
      <w:pPr>
        <w:pStyle w:val="PCJSection"/>
      </w:pPr>
      <w:r w:rsidRPr="002B68D3">
        <w:lastRenderedPageBreak/>
        <w:t>Introduction</w:t>
      </w:r>
      <w:bookmarkEnd w:id="1"/>
    </w:p>
    <w:p w14:paraId="069A35FF" w14:textId="77777777" w:rsidR="00D36711" w:rsidRPr="00D36711" w:rsidRDefault="00D36711" w:rsidP="00D36711">
      <w:pPr>
        <w:pStyle w:val="PCJtext"/>
      </w:pPr>
      <w:r w:rsidRPr="00D36711">
        <w:t xml:space="preserve">Nitrogen is one of the essential elements for the growth of all living organisms, especially for cellular protein synthesis. In modern agriculture, ammonia is often used as a nitrogen source for plants </w:t>
      </w:r>
      <w:r w:rsidRPr="00D36711">
        <w:fldChar w:fldCharType="begin"/>
      </w:r>
      <w:r w:rsidRPr="00D36711">
        <w:instrText xml:space="preserve"> ADDIN ZOTERO_ITEM CSL_CITATION {"citationID":"JLDUDRYp","properties":{"formattedCitation":"(Bagali, 2012; Burris &amp; Roberts, 1993; Masclaux-Daubresse et al., 2010)","plainCitation":"(Bagali, 2012; Burris &amp; Roberts, 1993; Masclaux-Daubresse et al., 2010)","noteIndex":0},"citationItems":[{"id":741,"uris":["http://zotero.org/users/local/ahqjqVuV/items/FQ6TEQGC"],"itemData":{"id":741,"type":"article-journal","abstract":"Productive agriculture needs a large amount of expensive nitrogenous fertilizers. Improving nitrogen use efficiency (NUE) of crop plants is thus of key importance. NUE definitions differ depending on whether plants are cultivated to produce biomass or grain yields. However, for most plant species, NUE mainly depends on how plants extract inorganic nitrogen from the soil, assimilate nitrate and ammonium, and recycle organic nitrogen. Efforts have been made to study the genetic basis as well as the biochemical and enzymatic mechanisms involved in nitrogen uptake, assimilation, and remobilization in crops and model plants. The detection of the limiting factors that could be manipulated to increase NUE is the major goal of such research.An overall examination of the physiological, metabolic, and genetic aspects of nitrogen uptake, assimilation and remobilization is presented in this review. The enzymes and regulatory processes manipulated to improve NUE components are presented. Results obtained from natural variation and quantitative trait loci studies are also discussed.This review presents the complexity of NUE and supports the idea that the integration of the numerous data coming from transcriptome studies, functional genomics, quantitative genetics, ecophysiology and soil science into explanatory models of whole-plant behaviour will be promising.","container-title":"Annals of Botany","DOI":"10.1093/aob/mcq028","ISSN":"0305-7364","issue":"7","journalAbbreviation":"Annals of Botany","page":"1141-1157","source":"Silverchair","title":"Nitrogen uptake, assimilation and remobilization in plants: challenges for sustainable and productive agriculture","title-short":"Nitrogen uptake, assimilation and remobilization in plants","volume":"105","author":[{"family":"Masclaux-Daubresse","given":"Céline"},{"family":"Daniel-Vedele","given":"Françoise"},{"family":"Dechorgnat","given":"Julie"},{"family":"Chardon","given":"Fabien"},{"family":"Gaufichon","given":"Laure"},{"family":"Suzuki","given":"Akira"}],"issued":{"date-parts":[["2010",6,1]]}}},{"id":315,"uris":["http://zotero.org/users/local/ahqjqVuV/items/3WW6VRHB"],"itemData":{"id":315,"type":"article-journal","abstract":"Microorganisms employed to enhance the availability of nutrients, viz., nitrogen (by fixing atmosphere N ), to the crops are called biofertilizers. In recent years, biofertilizers 2 have emerged as an important component for biological nitrogen fixation. It offers an economically attractive and ecologically sound route for ugmenting nutrient supply. Plant growth promoting species are commonly used to improve crop yield. In\naddition to their agricultural usefulness, there are potential benefits in environmental applications. Thus various species of Rhizobium for legumes, blue - green algae (BGA) or cynaobacteria and Azolla (a fern containing symbiotic N2 - fixing BGA, i.e., Azolla Anabaena Azollae) for wet land rice and Azotobacter / Azospirillum for several crops can play significant role in agriculture.","container-title":"Int. J. Microbiol. Res.","DOI":"10.5829/idosi.ijmr.2012.3.1.61103","journalAbbreviation":"Int. J. Microbiol. Res.","page":"46-52","source":"ResearchGate","title":"Review: nitrogen fixing microorganisms","title-short":"Review","volume":"3","author":[{"family":"Bagali","given":"Shridhar"}],"issued":{"date-parts":[["2012",1,1]]}}},{"id":163,"uris":["http://zotero.org/users/local/ahqjqVuV/items/DPISKMUB"],"itemData":{"id":163,"type":"article-journal","container-title":"Annual Review of Nutrition","DOI":"10.1146/annurev.nu.13.070193.001533","issue":"1","note":"number: 1\n_eprint: https://doi.org/10.1146/annurev.nu.13.070193.001533\nPMID: 8369149","page":"317-335","source":"Annual Reviews","title":"Biological Nitrogen Fixation","volume":"13","author":[{"family":"Burris","given":"Robert H."},{"family":"Roberts","given":"Gary P."}],"issued":{"date-parts":[["1993"]]}}}],"schema":"https://github.com/citation-style-language/schema/raw/master/csl-citation.json"} </w:instrText>
      </w:r>
      <w:r w:rsidRPr="00D36711">
        <w:fldChar w:fldCharType="separate"/>
      </w:r>
      <w:r w:rsidRPr="00D36711">
        <w:t>(Bagali, 2012; Burris &amp; Roberts, 1993; Masclaux-Daubresse et al., 2010)</w:t>
      </w:r>
      <w:r w:rsidRPr="00D36711">
        <w:fldChar w:fldCharType="end"/>
      </w:r>
      <w:r w:rsidRPr="00D36711">
        <w:t>. This compound is produced at industrial scale by the Haber-Bosch process which allows the reduction of N</w:t>
      </w:r>
      <w:r w:rsidRPr="00D36711">
        <w:rPr>
          <w:vertAlign w:val="subscript"/>
        </w:rPr>
        <w:t>2</w:t>
      </w:r>
      <w:r w:rsidRPr="00D36711">
        <w:t xml:space="preserve"> to NH</w:t>
      </w:r>
      <w:r w:rsidRPr="00D36711">
        <w:rPr>
          <w:vertAlign w:val="subscript"/>
        </w:rPr>
        <w:t>3</w:t>
      </w:r>
      <w:r w:rsidRPr="00D36711">
        <w:t xml:space="preserve"> at the expanse of large quantities of H</w:t>
      </w:r>
      <w:r w:rsidRPr="00D36711">
        <w:rPr>
          <w:vertAlign w:val="subscript"/>
        </w:rPr>
        <w:t>2</w:t>
      </w:r>
      <w:r w:rsidRPr="00D36711">
        <w:t xml:space="preserve"> and energy </w:t>
      </w:r>
      <w:r w:rsidRPr="00D36711">
        <w:fldChar w:fldCharType="begin"/>
      </w:r>
      <w:r w:rsidRPr="00D36711">
        <w:instrText xml:space="preserve"> ADDIN ZOTERO_ITEM CSL_CITATION {"citationID":"N9brHp7h","properties":{"formattedCitation":"(Kandemir et al., 2013; Mart\\uc0\\u237{}n et al., 2019)","plainCitation":"(Kandemir et al., 2013; Martín et al., 2019)","noteIndex":0},"citationItems":[{"id":273,"uris":["http://zotero.org/users/local/ahqjqVuV/items/A7ILTXFQ"],"itemData":{"id":273,"type":"article-journal","abstract":"In situ neutron diffraction was used to study the structural properties of an industrial ammonia synthesis catalyst under working conditions similar to those of the Haber–Bosch process. Despite favorable thermodynamics, no indications of reversible bulk nitridation of the iron catalyst was observed in a self-generated ammonia concentration of 12 vol % at 425 °C and 75 bar after 88 h on stream.","container-title":"Angewandte Chemie International Edition","DOI":"10.1002/anie.201305812","ISSN":"1521-3773","issue":"48","note":"number: 48\n_eprint: https://onlinelibrary.wiley.com/doi/pdf/10.1002/anie.201305812","page":"12723-12726","source":"Wiley Online Library","title":"The Haber–Bosch Process Revisited: On the Real Structure and Stability of “Ammonia Iron” under Working Conditions","title-short":"The Haber–Bosch Process Revisited","volume":"52","author":[{"family":"Kandemir","given":"Timur"},{"family":"Schuster","given":"Manfred E."},{"family":"Senyshyn","given":"Anatoliy"},{"family":"Behrens","given":"Malte"},{"family":"Schlögl","given":"Robert"}],"issued":{"date-parts":[["2013"]]}}},{"id":270,"uris":["http://zotero.org/users/local/ahqjqVuV/items/NSLF8LUZ"],"itemData":{"id":270,"type":"article-journal","abstract":"The electrocatalytic nitrogen reduction reaction (eN2RR) is an emerging route complementing one of the pillars of the chemical industry, the Haber-Bosch (HB) process. Its flexibility expands suitable operating conditions from highly pure nitrogen and hydrogen streams and high temperature to very mild ones, such as air and water at ambient conditions, which can expand the ammonia synthesis toward the on-site production of carbon-neutral fertilizers when powered, for instance, by sunlight (ammonia artificial leaf). This review uses performance maps to (1) provide a bird's-eye view of the gap separating it from practical implementation and (2) identify sources of inefficiency, mostly associated with the reduced ability of available catalysts to operate with high energy efficiency. In addition, we discuss basic aspects influencing the design of an ammonia artificial leaf and comment on future directions.","container-title":"Chem","DOI":"10.1016/j.chempr.2018.10.010","ISSN":"2451-9294","issue":"2","journalAbbreviation":"Chem","language":"en","note":"number: 2","page":"263-283","source":"ScienceDirect","title":"Electrocatalytic Reduction of Nitrogen: From Haber-Bosch to Ammonia Artificial Leaf","title-short":"Electrocatalytic Reduction of Nitrogen","volume":"5","author":[{"family":"Martín","given":"Antonio José"},{"family":"Shinagawa","given":"Tatsuya"},{"family":"Pérez-Ramírez","given":"Javier"}],"issued":{"date-parts":[["2019",2,14]]}}}],"schema":"https://github.com/citation-style-language/schema/raw/master/csl-citation.json"} </w:instrText>
      </w:r>
      <w:r w:rsidRPr="00D36711">
        <w:fldChar w:fldCharType="separate"/>
      </w:r>
      <w:r w:rsidRPr="00D36711">
        <w:t>(Kandemir et al., 2013; Martín et al., 2019)</w:t>
      </w:r>
      <w:r w:rsidRPr="00D36711">
        <w:fldChar w:fldCharType="end"/>
      </w:r>
      <w:r w:rsidRPr="00D36711">
        <w:t>. This process is associated with significant CO</w:t>
      </w:r>
      <w:r w:rsidRPr="00D36711">
        <w:rPr>
          <w:vertAlign w:val="subscript"/>
        </w:rPr>
        <w:t>2</w:t>
      </w:r>
      <w:r w:rsidRPr="00D36711">
        <w:t xml:space="preserve"> emissions, due to the source of H</w:t>
      </w:r>
      <w:r w:rsidRPr="00D36711">
        <w:rPr>
          <w:vertAlign w:val="subscript"/>
        </w:rPr>
        <w:t>2</w:t>
      </w:r>
      <w:r w:rsidRPr="00D36711">
        <w:t xml:space="preserve"> obtained either by methane steam reforming or coal gasification </w:t>
      </w:r>
      <w:r w:rsidRPr="00D36711">
        <w:fldChar w:fldCharType="begin"/>
      </w:r>
      <w:r w:rsidRPr="00D36711">
        <w:instrText xml:space="preserve"> ADDIN ZOTERO_ITEM CSL_CITATION {"citationID":"dUGe0Yda","properties":{"formattedCitation":"(Mart\\uc0\\u237{}n et al., 2019)","plainCitation":"(Martín et al., 2019)","noteIndex":0},"citationItems":[{"id":270,"uris":["http://zotero.org/users/local/ahqjqVuV/items/NSLF8LUZ"],"itemData":{"id":270,"type":"article-journal","abstract":"The electrocatalytic nitrogen reduction reaction (eN2RR) is an emerging route complementing one of the pillars of the chemical industry, the Haber-Bosch (HB) process. Its flexibility expands suitable operating conditions from highly pure nitrogen and hydrogen streams and high temperature to very mild ones, such as air and water at ambient conditions, which can expand the ammonia synthesis toward the on-site production of carbon-neutral fertilizers when powered, for instance, by sunlight (ammonia artificial leaf). This review uses performance maps to (1) provide a bird's-eye view of the gap separating it from practical implementation and (2) identify sources of inefficiency, mostly associated with the reduced ability of available catalysts to operate with high energy efficiency. In addition, we discuss basic aspects influencing the design of an ammonia artificial leaf and comment on future directions.","container-title":"Chem","DOI":"10.1016/j.chempr.2018.10.010","ISSN":"2451-9294","issue":"2","journalAbbreviation":"Chem","language":"en","note":"number: 2","page":"263-283","source":"ScienceDirect","title":"Electrocatalytic Reduction of Nitrogen: From Haber-Bosch to Ammonia Artificial Leaf","title-short":"Electrocatalytic Reduction of Nitrogen","volume":"5","author":[{"family":"Martín","given":"Antonio José"},{"family":"Shinagawa","given":"Tatsuya"},{"family":"Pérez-Ramírez","given":"Javier"}],"issued":{"date-parts":[["2019",2,14]]}}}],"schema":"https://github.com/citation-style-language/schema/raw/master/csl-citation.json"} </w:instrText>
      </w:r>
      <w:r w:rsidRPr="00D36711">
        <w:fldChar w:fldCharType="separate"/>
      </w:r>
      <w:r w:rsidRPr="00D36711">
        <w:t>(Martín et al., 2019)</w:t>
      </w:r>
      <w:r w:rsidRPr="00D36711">
        <w:fldChar w:fldCharType="end"/>
      </w:r>
      <w:r w:rsidRPr="00D36711">
        <w:t>. Alternatives for green H</w:t>
      </w:r>
      <w:r w:rsidRPr="00D36711">
        <w:rPr>
          <w:vertAlign w:val="subscript"/>
        </w:rPr>
        <w:t>2</w:t>
      </w:r>
      <w:r w:rsidRPr="00D36711">
        <w:t xml:space="preserve"> production, such as water electrolysis, are therefore nowadays considered to feed the Haber-Bosch process that is also contributing to a high energy demand of the process </w:t>
      </w:r>
      <w:r w:rsidRPr="00D36711">
        <w:fldChar w:fldCharType="begin"/>
      </w:r>
      <w:r w:rsidRPr="00D36711">
        <w:instrText xml:space="preserve"> ADDIN ZOTERO_ITEM CSL_CITATION {"citationID":"i2Vw45Nb","properties":{"formattedCitation":"(Cherkasov et al., 2015)","plainCitation":"(Cherkasov et al., 2015)","noteIndex":0},"citationItems":[{"id":636,"uris":["http://zotero.org/users/local/ahqjqVuV/items/G2XFXRK2"],"itemData":{"id":636,"type":"article-journal","abstract":"The conversion of atmospheric nitrogen into valuable substances such as fertilisers and fine chemicals is essential for agriculture and many other processes that sustain life on the planet. Although the Haber–Bosch process is the most important method of nitrogen fixation, the process is associated with major environmental concerns because it is very energy intensive and requires non-renewable feedstock to generate hydrogen. Hence, alternative ways of nitrogen fixation are being studied, from plasma synthesis and biological processes to metallocomplex catalysis, while existing methods are being improved using novel catalysts. This review covers all of the major areas of nitrogen fixation, discusses the industrial feasibility of each process, the reaction mechanisms, and provides a comparative evaluation of the various nitrogen fixation processes in terms of energy efficiency. Considering energy efficiency, the Haber–Bosch process and non-thermal plasma nitrogen fixation are promising methods for green industrial nitrogen fixation. Although metallocomplex nitrogen fixation takes place at ambient pressures, energy estimations show that this method does not provide higher energy efficiency than biological nitrogen fixation or the Haber–Bosch process. Biological nitrogen fixation on the other hand, has energy efficiency comparable to that of the Haber–Bosch process.","container-title":"Chemical Engineering and Processing: Process Intensification","DOI":"10.1016/j.cep.2015.02.004","ISSN":"0255-2701","journalAbbreviation":"Chemical Engineering and Processing: Process Intensification","language":"en","page":"24-33","source":"ScienceDirect","title":"A review of the existing and alternative methods for greener nitrogen fixation","volume":"90","author":[{"family":"Cherkasov","given":"N."},{"family":"Ibhadon","given":"A. O."},{"family":"Fitzpatrick","given":"P."}],"issued":{"date-parts":[["2015",4,1]]}}}],"schema":"https://github.com/citation-style-language/schema/raw/master/csl-citation.json"} </w:instrText>
      </w:r>
      <w:r w:rsidRPr="00D36711">
        <w:fldChar w:fldCharType="separate"/>
      </w:r>
      <w:r w:rsidRPr="00D36711">
        <w:t>(Cherkasov et al., 2015)</w:t>
      </w:r>
      <w:r w:rsidRPr="00D36711">
        <w:fldChar w:fldCharType="end"/>
      </w:r>
      <w:r w:rsidRPr="00D36711">
        <w:t>. A more direct alternative is to reduce N</w:t>
      </w:r>
      <w:r w:rsidRPr="00D36711">
        <w:rPr>
          <w:vertAlign w:val="subscript"/>
        </w:rPr>
        <w:t>2</w:t>
      </w:r>
      <w:r w:rsidRPr="00D36711">
        <w:t xml:space="preserve"> directly on a cathode by chemical catalysts. However, these catalysts are not renewable and are currently not sufficiently selective regarding the hydrogen evolution reaction at ambient conditions </w:t>
      </w:r>
      <w:r w:rsidRPr="00D36711">
        <w:fldChar w:fldCharType="begin"/>
      </w:r>
      <w:r w:rsidRPr="00D36711">
        <w:instrText xml:space="preserve"> ADDIN ZOTERO_ITEM CSL_CITATION {"citationID":"nF9wZZ6I","properties":{"formattedCitation":"(Deng et al., 2018; A. Liu et al., 2020)","plainCitation":"(Deng et al., 2018; A. Liu et al., 2020)","noteIndex":0},"citationItems":[{"id":703,"uris":["http://zotero.org/users/local/ahqjqVuV/items/FL4KJAY3"],"itemData":{"id":703,"type":"article-journal","abstract":"Electrochemical nitrogen reduction to ammonia (NH3) is proposed as a favored alternative for the Haber-Bosch process since it can be powered by renewable electricity at ambient conditions. In light of this, electrochemical nitrogen fixation has gathered increasing attention in the scientific community. This Perspective discusses recent efforts devoted to nitrogen fixation in electrochemical systems operating at low temperatures, and the challenges confronting high selectivity for NH3 production as a result of the competition between the nitrogen reduction reaction and hydrogen evolution reaction. A variety of recent approaches have the potential to overcome this challenge for a selective, efficient, and practical electrochemical reaction for nitrogen fixation.","container-title":"Joule","DOI":"10.1016/j.joule.2018.04.014","ISSN":"2542-4351","issue":"5","journalAbbreviation":"Joule","language":"en","page":"846-856","source":"ScienceDirect","title":"Electrocatalytic Nitrogen Reduction at Low Temperature","volume":"2","author":[{"family":"Deng","given":"Jiao"},{"family":"Iñiguez","given":"Jesus A."},{"family":"Liu","given":"Chong"}],"issued":{"date-parts":[["2018",5,16]]}}},{"id":639,"uris":["http://zotero.org/users/local/ahqjqVuV/items/SEZ5QNX8"],"itemData":{"id":639,"type":"article-journal","container-title":"ChemSusChem","DOI":"10.1002/cssc.202000487","ISSN":"1864-5631, 1864-564X","issue":"15","journalAbbreviation":"ChemSusChem","language":"en","page":"3766-3788","source":"DOI.org (Crossref)","title":"Current Progress of Electrocatalysts for Ammonia Synthesis Through Electrochemical Nitrogen Reduction Under Ambient Conditions","volume":"13","author":[{"family":"Liu","given":"Anmin"},{"family":"Yang","given":"Yanan"},{"family":"Ren","given":"Xuefeng"},{"family":"Zhao","given":"Qidong"},{"family":"Gao","given":"Mengfan"},{"family":"Guan","given":"Weixin"},{"family":"Meng","given":"Fanning"},{"family":"Gao","given":"Liguo"},{"family":"Yang","given":"Qiyue"},{"family":"Liang","given":"Xingyou"},{"family":"Ma","given":"Tingli"}],"issued":{"date-parts":[["2020",8,7]]}}}],"schema":"https://github.com/citation-style-language/schema/raw/master/csl-citation.json"} </w:instrText>
      </w:r>
      <w:r w:rsidRPr="00D36711">
        <w:fldChar w:fldCharType="separate"/>
      </w:r>
      <w:r w:rsidRPr="00D36711">
        <w:t>(Deng et al., 2018; A. Liu et al., 2020)</w:t>
      </w:r>
      <w:r w:rsidRPr="00D36711">
        <w:fldChar w:fldCharType="end"/>
      </w:r>
      <w:r w:rsidRPr="00D36711">
        <w:t>.</w:t>
      </w:r>
    </w:p>
    <w:p w14:paraId="28368949" w14:textId="0418FF23" w:rsidR="008F59C6" w:rsidRPr="000B0272" w:rsidRDefault="00D36711" w:rsidP="00456C92">
      <w:pPr>
        <w:pStyle w:val="PCJtext"/>
      </w:pPr>
      <w:r w:rsidRPr="00D36711">
        <w:t>Recently some authors proposed to use N</w:t>
      </w:r>
      <w:r w:rsidRPr="00D36711">
        <w:rPr>
          <w:vertAlign w:val="subscript"/>
        </w:rPr>
        <w:t>2</w:t>
      </w:r>
      <w:r w:rsidRPr="00D36711">
        <w:t>-fixing bacteria in association with electrochemical systems for N</w:t>
      </w:r>
      <w:r w:rsidRPr="00D36711">
        <w:rPr>
          <w:vertAlign w:val="subscript"/>
        </w:rPr>
        <w:t>2</w:t>
      </w:r>
      <w:r w:rsidRPr="00D36711">
        <w:t xml:space="preserve"> reduction at low energy cost </w:t>
      </w:r>
      <w:r w:rsidRPr="00D36711">
        <w:fldChar w:fldCharType="begin"/>
      </w:r>
      <w:r w:rsidRPr="00D36711">
        <w:instrText xml:space="preserve"> ADDIN ZOTERO_ITEM CSL_CITATION {"citationID":"kI7bViY2","properties":{"formattedCitation":"(C. Liu et al., 2017; Rago et al., 2019)","plainCitation":"(C. Liu et al., 2017; Rago et al., 2019)","noteIndex":0},"citationItems":[{"id":70,"uris":["http://zotero.org/users/local/ahqjqVuV/items/W85H7UHF"],"itemData":{"id":70,"type":"article-journal","abstract":"We demonstrate the synthesis of NH3 from N2 and H2O at ambient conditions in a single reactor by coupling hydrogen generation from catalytic water splitting to a H2-oxidizing bacterium Xanthobacter autotrophicus, which performs N2 and CO2 reduction to solid biomass. Living cells of X. autotrophicus may be directly applied as a biofertilizer to improve growth of radishes, a model crop plant, by up to </w:instrText>
      </w:r>
      <w:r w:rsidRPr="00D36711">
        <w:rPr>
          <w:rFonts w:ascii="Cambria Math" w:hAnsi="Cambria Math" w:cs="Cambria Math"/>
        </w:rPr>
        <w:instrText>∼</w:instrText>
      </w:r>
      <w:r w:rsidRPr="00D36711">
        <w:instrText>1,440% in terms of storage root mass. The NH3 generated from nitrogenase (N2ase) in X. autotrophicus can be diverted from biomass formation to an extracellular ammonia production with the addition of a glutamate synthetase inhibitor. The N2 reduction reaction proceeds at a low driving force with a turnover number of 9 × 109 cell–1 and turnover frequency of 1.9 × 104 s–1</w:instrText>
      </w:r>
      <w:r w:rsidRPr="00D36711">
        <w:rPr>
          <w:rFonts w:ascii="Cambria Math" w:hAnsi="Cambria Math" w:cs="Cambria Math"/>
        </w:rPr>
        <w:instrText>⋅</w:instrText>
      </w:r>
      <w:r w:rsidRPr="00D36711">
        <w:instrText xml:space="preserve">cell–1 without the use of sacrificial chemical reagents or carbon feedstocks other than CO2. This approach can be powered by renewable electricity, enabling the sustainable and selective production of ammonia and biofertilizers in a distributed manner.","container-title":"Proceedings of the National Academy of Sciences","DOI":"10.1073/pnas.1706371114","ISSN":"0027-8424, 1091-6490","issue":"25","journalAbbreviation":"PNAS","language":"en","license":"©  . Freely available online through the PNAS open access option.","note":"number: 25\npublisher: National Academy of Sciences\nsection: Physical Sciences\nPMID: 28588143","page":"6450-6455","source":"www.pnas.org","title":"Ambient nitrogen reduction cycle using a hybrid inorganic–biological system","volume":"114","author":[{"family":"Liu","given":"Chong"},{"family":"Sakimoto","given":"Kelsey K."},{"family":"Colón","given":"Brendan C."},{"family":"Silver","given":"Pamela A."},{"family":"Nocera","given":"Daniel G."}],"issued":{"date-parts":[["2017",6,20]]}}},{"id":3,"uris":["http://zotero.org/users/local/ahqjqVuV/items/9WMCQQZA"],"itemData":{"id":3,"type":"article-journal","abstract":"A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D36711">
        <w:fldChar w:fldCharType="separate"/>
      </w:r>
      <w:r w:rsidRPr="00D36711">
        <w:t>(C. Liu et al., 2017; Rago et al., 2019)</w:t>
      </w:r>
      <w:r w:rsidRPr="00D36711">
        <w:fldChar w:fldCharType="end"/>
      </w:r>
      <w:r w:rsidRPr="00D36711">
        <w:t>. This idea was inspired by previous observations of microbial CO</w:t>
      </w:r>
      <w:r w:rsidRPr="00D36711">
        <w:rPr>
          <w:vertAlign w:val="subscript"/>
        </w:rPr>
        <w:t>2</w:t>
      </w:r>
      <w:r w:rsidRPr="00D36711">
        <w:t xml:space="preserve"> fixation on microbial cathodes in a process known as microbial electrosynthesis </w:t>
      </w:r>
      <w:r w:rsidRPr="00D36711">
        <w:fldChar w:fldCharType="begin"/>
      </w:r>
      <w:r w:rsidRPr="00D36711">
        <w:instrText xml:space="preserve"> ADDIN ZOTERO_ITEM CSL_CITATION {"citationID":"8CpBTgQA","properties":{"formattedCitation":"(A. Liu et al., 2020; Logan et al., 2019)","plainCitation":"(A. Liu et al., 2020; Logan et al., 2019)","noteIndex":0},"citationItems":[{"id":639,"uris":["http://zotero.org/users/local/ahqjqVuV/items/SEZ5QNX8"],"itemData":{"id":639,"type":"article-journal","container-title":"ChemSusChem","DOI":"10.1002/cssc.202000487","ISSN":"1864-5631, 1864-564X","issue":"15","journalAbbreviation":"ChemSusChem","language":"en","page":"3766-3788","source":"DOI.org (Crossref)","title":"Current Progress of Electrocatalysts for Ammonia Synthesis Through Electrochemical Nitrogen Reduction Under Ambient Conditions","volume":"13","author":[{"family":"Liu","given":"Anmin"},{"family":"Yang","given":"Yanan"},{"family":"Ren","given":"Xuefeng"},{"family":"Zhao","given":"Qidong"},{"family":"Gao","given":"Mengfan"},{"family":"Guan","given":"Weixin"},{"family":"Meng","given":"Fanning"},{"family":"Gao","given":"Liguo"},{"family":"Yang","given":"Qiyue"},{"family":"Liang","given":"Xingyou"},{"family":"Ma","given":"Tingli"}],"issued":{"date-parts":[["2020",8,7]]}}},{"id":575,"uris":["http://zotero.org/users/local/ahqjqVuV/items/9TEYCE77"],"itemData":{"id":575,"type":"article-journal","abstract":"A vast array of microorganisms from all three domains of life can produce electrical current and transfer electrons to the anodes of different types of bioelectrochemical systems. These exoelectrogens are typically iron-reducing bacteria, such as Geobacter sulfurreducens, that produce high power densities at moderate temperatures. With the right media and growth conditions, many other microorganisms ranging from common yeasts to extremophiles such as hyperthermophilic archaea can also generate high current densities. Electrotrophic microorganisms that grow by using electrons derived from the cathode are less diverse and have no common or prototypical traits, and current densities are usually well below those reported for model exoelectrogens. However, electrotrophic microorganisms can use diverse terminal electron acceptors for cell respiration, including carbon dioxide, enabling a variety of novel cathode-driven reactions. The impressive diversity of electroactive microorganisms and the conditions in which they function provide new opportunities for electrochemical devices, such as microbial fuel cells that generate electricity or microbial electrolysis cells that produce hydrogen or methane.","container-title":"Nature Reviews Microbiology","DOI":"10.1038/s41579-019-0173-x","ISSN":"1740-1534","issue":"5","journalAbbreviation":"Nat Rev Microbiol","language":"en","license":"2019 Springer Nature Limited","note":"number: 5\npublisher: Nature Publishing Group","page":"307-319","source":"www.nature.com","title":"Electroactive microorganisms in bioelectrochemical systems","volume":"17","author":[{"family":"Logan","given":"Bruce E."},{"family":"Rossi","given":"Ruggero"},{"family":"Ragab","given":"Ala’a"},{"family":"Saikaly","given":"Pascal E."}],"issued":{"date-parts":[["2019",5]]}}}],"schema":"https://github.com/citation-style-language/schema/raw/master/csl-citation.json"} </w:instrText>
      </w:r>
      <w:r w:rsidRPr="00D36711">
        <w:fldChar w:fldCharType="separate"/>
      </w:r>
      <w:r w:rsidRPr="00D36711">
        <w:t>(A. Liu et al., 2020; Logan et al., 2019)</w:t>
      </w:r>
      <w:r w:rsidRPr="00D36711">
        <w:fldChar w:fldCharType="end"/>
      </w:r>
      <w:r w:rsidRPr="00D36711">
        <w:t>. The microbial fixation of both N</w:t>
      </w:r>
      <w:r w:rsidRPr="00D36711">
        <w:rPr>
          <w:vertAlign w:val="subscript"/>
        </w:rPr>
        <w:t>2</w:t>
      </w:r>
      <w:r w:rsidRPr="00D36711">
        <w:t xml:space="preserve"> and CO</w:t>
      </w:r>
      <w:r w:rsidRPr="00D36711">
        <w:rPr>
          <w:vertAlign w:val="subscript"/>
        </w:rPr>
        <w:t>2</w:t>
      </w:r>
      <w:r w:rsidRPr="00D36711">
        <w:t xml:space="preserve"> with a polarized cathode was demonstrated in two recent studies </w:t>
      </w:r>
      <w:r w:rsidRPr="00D36711">
        <w:fldChar w:fldCharType="begin"/>
      </w:r>
      <w:r w:rsidRPr="00D36711">
        <w:instrText xml:space="preserve"> ADDIN ZOTERO_ITEM CSL_CITATION {"citationID":"1fe2TIvl","properties":{"formattedCitation":"(C. Liu et al., 2017; Rago et al., 2019)","plainCitation":"(C. Liu et al., 2017; Rago et al., 2019)","noteIndex":0},"citationItems":[{"id":70,"uris":["http://zotero.org/users/local/ahqjqVuV/items/W85H7UHF"],"itemData":{"id":70,"type":"article-journal","abstract":"We demonstrate the synthesis of NH3 from N2 and H2O at ambient conditions in a single reactor by coupling hydrogen generation from catalytic water splitting to a H2-oxidizing bacterium Xanthobacter autotrophicus, which performs N2 and CO2 reduction to solid biomass. Living cells of X. autotrophicus may be directly applied as a biofertilizer to improve growth of radishes, a model crop plant, by up to </w:instrText>
      </w:r>
      <w:r w:rsidRPr="00D36711">
        <w:rPr>
          <w:rFonts w:ascii="Cambria Math" w:hAnsi="Cambria Math" w:cs="Cambria Math"/>
        </w:rPr>
        <w:instrText>∼</w:instrText>
      </w:r>
      <w:r w:rsidRPr="00D36711">
        <w:instrText>1,440% in terms of storage root mass. The NH3 generated from nitrogenase (N2ase) in X. autotrophicus can be diverted from biomass formation to an extracellular ammonia production with the addition of a glutamate synthetase inhibitor. The N2 reduction reaction proceeds at a low driving force with a turnover number of 9 × 109 cell–1 and turnover frequency of 1.9 × 104 s–1</w:instrText>
      </w:r>
      <w:r w:rsidRPr="00D36711">
        <w:rPr>
          <w:rFonts w:ascii="Cambria Math" w:hAnsi="Cambria Math" w:cs="Cambria Math"/>
        </w:rPr>
        <w:instrText>⋅</w:instrText>
      </w:r>
      <w:r w:rsidRPr="00D36711">
        <w:instrText>cell–1 without the use of sacrificial chemical reagents or carbon feedstocks other than CO2. This approach can be powered by renewable electricity, enabling the sustainable and selective production of ammonia and biofertilizers in a distributed manner.","container-title":"Proceedings of the National Academy of Sciences","DOI":"10.1073/pnas.1706371114","ISSN":"0027-8424, 1091-6490","issue":"25","journalAbbreviation":"PNAS","language":"en","license":"©  . Freely available online through the PNAS open access option.","note":"number: 25\npublisher: National Academy of Sciences\nsection: Physical Sciences\nPMID: 28588143","page":"6450-6455","source":"www.pnas.org","title":"Ambient nitrogen reduction cycle using a hybrid inorganic–biological system","volume":"114","author":[{"family":"Liu","given":"Chong"},{"family":"Sakimoto","given":"Kelsey K."},{"family":"Colón","given":"Brendan C."},{"family":"Silver","given":"Pamela A."},{"family":"Nocera","given":"Daniel G."}],"issued":{"date-parts":[["2017",6,20]]}}},{"id":3,"uris":["http://zotero.org/users/local/ahqjqVuV/items/9WMCQQZA"],"itemData":{"id":3,"type":"article-journal","abstract":"A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w:instrText>
      </w:r>
      <w:r w:rsidRPr="00D36711">
        <w:rPr>
          <w:lang w:val="fr-FR"/>
        </w:rPr>
        <w:instrText xml:space="preserve">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D36711">
        <w:fldChar w:fldCharType="separate"/>
      </w:r>
      <w:r w:rsidRPr="00D36711">
        <w:rPr>
          <w:lang w:val="fr-FR"/>
        </w:rPr>
        <w:t>(C. Liu et al., 2017; Rago et al., 2019)</w:t>
      </w:r>
      <w:r w:rsidRPr="00D36711">
        <w:fldChar w:fldCharType="end"/>
      </w:r>
      <w:r w:rsidRPr="00D36711">
        <w:rPr>
          <w:lang w:val="fr-FR"/>
        </w:rPr>
        <w:t xml:space="preserve">. First, Liu </w:t>
      </w:r>
      <w:r w:rsidRPr="00D36711">
        <w:rPr>
          <w:i/>
          <w:lang w:val="fr-FR"/>
        </w:rPr>
        <w:t>et al.</w:t>
      </w:r>
      <w:r w:rsidRPr="00D36711">
        <w:rPr>
          <w:lang w:val="fr-FR"/>
        </w:rPr>
        <w:t xml:space="preserve"> </w:t>
      </w:r>
      <w:r w:rsidRPr="00D36711">
        <w:t xml:space="preserve">(2017) demonstrated the growth of </w:t>
      </w:r>
      <w:r w:rsidRPr="00D36711">
        <w:rPr>
          <w:i/>
        </w:rPr>
        <w:t>Xanthobacter autotrophicus</w:t>
      </w:r>
      <w:r w:rsidRPr="00D36711">
        <w:t xml:space="preserve"> in a hybrid organic-inorganic electrochemical system in the absence of nitrogen sources other than N</w:t>
      </w:r>
      <w:r w:rsidRPr="00D36711">
        <w:rPr>
          <w:vertAlign w:val="subscript"/>
        </w:rPr>
        <w:t>2</w:t>
      </w:r>
      <w:r w:rsidRPr="00D36711">
        <w:t>. Then, Rago et al. (2019) demonstrated N</w:t>
      </w:r>
      <w:r w:rsidRPr="00D36711">
        <w:rPr>
          <w:vertAlign w:val="subscript"/>
        </w:rPr>
        <w:t>2</w:t>
      </w:r>
      <w:r w:rsidRPr="00D36711">
        <w:t xml:space="preserve"> fixation through microbial electrosynthesis (MES) with a mixed microbial community</w:t>
      </w:r>
      <w:r w:rsidR="00C10BAA">
        <w:t xml:space="preserve"> </w:t>
      </w:r>
      <w:r w:rsidR="00C10BAA" w:rsidRPr="00D36711">
        <w:fldChar w:fldCharType="begin"/>
      </w:r>
      <w:r w:rsidR="00C10BAA">
        <w:instrText xml:space="preserve"> ADDIN ZOTERO_ITEM CSL_CITATION {"citationID":"muuH7t0S","properties":{"formattedCitation":"(C. Liu et al., 2017; Rago et al., 2019)","plainCitation":"(C. Liu et al., 2017; Rago et al., 2019)","noteIndex":0},"citationItems":[{"id":70,"uris":["http://zotero.org/users/local/ahqjqVuV/items/W85H7UHF"],"itemData":{"id":70,"type":"article-journal","abstract":"We demonstrate the synthesis of NH3 from N2 and H2O at ambient conditions in a single reactor by coupling hydrogen generation from catalytic water splitting to a H2-oxidizing bacterium Xanthobacter autotrophicus, which performs N2 and CO2 reduction to solid biomass. Living cells of X. autotrophicus may be directly applied as a biofertilizer to improve growth of radishes, a model crop plant, by up to </w:instrText>
      </w:r>
      <w:r w:rsidR="00C10BAA">
        <w:rPr>
          <w:rFonts w:ascii="Cambria Math" w:hAnsi="Cambria Math" w:cs="Cambria Math"/>
        </w:rPr>
        <w:instrText>∼</w:instrText>
      </w:r>
      <w:r w:rsidR="00C10BAA">
        <w:instrText>1,440% in terms of storage root mass. The NH3 generated from nitrogenase (N2ase) in X. autotrophicus can be diverted from biomass formation to an extracellular ammonia production with the addition of a glutamate synthetase inhibitor. The N2 reduction reaction proceeds at a low driving force with a turnover number of 9 × 109 cell–1 and turnover frequency of 1.9 × 104 s–1</w:instrText>
      </w:r>
      <w:r w:rsidR="00C10BAA">
        <w:rPr>
          <w:rFonts w:ascii="Cambria Math" w:hAnsi="Cambria Math" w:cs="Cambria Math"/>
        </w:rPr>
        <w:instrText>⋅</w:instrText>
      </w:r>
      <w:r w:rsidR="00C10BAA">
        <w:instrText>cell</w:instrText>
      </w:r>
      <w:r w:rsidR="00C10BAA">
        <w:rPr>
          <w:rFonts w:ascii="Calibri" w:hAnsi="Calibri" w:cs="Calibri"/>
        </w:rPr>
        <w:instrText>–</w:instrText>
      </w:r>
      <w:r w:rsidR="00C10BAA">
        <w:instrText xml:space="preserve">1 without the use of sacrificial chemical reagents or carbon feedstocks other than CO2. This approach can be powered by renewable electricity, enabling the sustainable and selective production of ammonia and biofertilizers in a distributed manner.","container-title":"Proceedings of the National Academy of Sciences","DOI":"10.1073/pnas.1706371114","ISSN":"0027-8424, 1091-6490","issue":"25","journalAbbreviation":"PNAS","language":"en","license":"©  . Freely available online through the PNAS open access option.","note":"number: 25\npublisher: National Academy of Sciences\nsection: Physical Sciences\nPMID: 28588143","page":"6450-6455","source":"www.pnas.org","title":"Ambient nitrogen reduction cycle using a hybrid inorganic–biological system","volume":"114","author":[{"family":"Liu","given":"Chong"},{"family":"Sakimoto","given":"Kelsey K."},{"family":"Colón","given":"Brendan C."},{"family":"Silver","given":"Pamela A."},{"family":"Nocera","given":"Daniel G."}],"issued":{"date-parts":[["2017",6,20]]}}},{"id":3,"uris":["http://zotero.org/users/local/ahqjqVuV/items/9WMCQQZA"],"itemData":{"id":3,"type":"article-journal","abstract":"A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C10BAA" w:rsidRPr="00D36711">
        <w:fldChar w:fldCharType="separate"/>
      </w:r>
      <w:r w:rsidR="00C10BAA" w:rsidRPr="00FF622B">
        <w:t>(C. Liu et al., 2017; Rago et al., 2019)</w:t>
      </w:r>
      <w:r w:rsidR="00C10BAA" w:rsidRPr="00D36711">
        <w:fldChar w:fldCharType="end"/>
      </w:r>
      <w:r w:rsidRPr="00D36711">
        <w:t>.</w:t>
      </w:r>
      <w:r w:rsidR="0033226A" w:rsidRPr="0033226A">
        <w:t xml:space="preserve"> </w:t>
      </w:r>
    </w:p>
    <w:p w14:paraId="55CA54AC" w14:textId="0077D4F8" w:rsidR="0099333F" w:rsidRPr="00C13637" w:rsidRDefault="0099333F" w:rsidP="00C13637">
      <w:pPr>
        <w:pStyle w:val="PCJtext"/>
      </w:pPr>
      <w:r w:rsidRPr="00C13637">
        <w:rPr>
          <w:highlight w:val="yellow"/>
        </w:rPr>
        <w:t xml:space="preserve">Other works investigated the mechanisms with pure bacterial strain like Soundararajan et al. </w:t>
      </w:r>
      <w:r w:rsidRPr="00C13637">
        <w:rPr>
          <w:highlight w:val="yellow"/>
        </w:rPr>
        <w:fldChar w:fldCharType="begin"/>
      </w:r>
      <w:r w:rsidRPr="00C13637">
        <w:rPr>
          <w:highlight w:val="yellow"/>
        </w:rPr>
        <w:instrText xml:space="preserve"> ADDIN ZOTERO_ITEM CSL_CITATION {"citationID":"IgWQi2kZ","properties":{"formattedCitation":"(Soundararajan et al., 2019)","plainCitation":"(Soundararajan et al., 2019)","dontUpdate":true,"noteIndex":0},"citationItems":[{"id":177,"uris":["http://zotero.org/users/local/ahqjqVuV/items/LMWWP63Q"],"itemData":{"id":177,"type":"article-journal","container-title":"Frontiers in Microbiology","DOI":"10.3389/fmicb.2019.01817","ISSN":"1664-302X","journalAbbreviation":"Front. Microbiol.","page":"1817","source":"DOI.org (Crossref)","title":"Phototrophic N2 and CO2 Fixation Using a Rhodopseudomonas palustris-H2 Mediated Electrochemical System With Infrared Photons","volume":"10","author":[{"family":"Soundararajan","given":"Mathangi"},{"family":"Ledbetter","given":"Rhesa"},{"family":"Kusuma","given":"Paul"},{"family":"Zhen","given":"Shuyang"},{"family":"Ludden","given":"Paul"},{"family":"Bugbee","given":"Bruce"},{"family":"Ensign","given":"Scott A."},{"family":"Seefeldt","given":"Lance C."}],"issued":{"date-parts":[["2019",8,14]]}}}],"schema":"https://github.com/citation-style-language/schema/raw/master/csl-citation.json"} </w:instrText>
      </w:r>
      <w:r w:rsidRPr="00C13637">
        <w:rPr>
          <w:highlight w:val="yellow"/>
        </w:rPr>
        <w:fldChar w:fldCharType="separate"/>
      </w:r>
      <w:r w:rsidRPr="00C13637">
        <w:rPr>
          <w:highlight w:val="yellow"/>
        </w:rPr>
        <w:t>(2019)</w:t>
      </w:r>
      <w:r w:rsidRPr="00C13637">
        <w:rPr>
          <w:highlight w:val="yellow"/>
        </w:rPr>
        <w:fldChar w:fldCharType="end"/>
      </w:r>
      <w:r w:rsidRPr="00C13637">
        <w:rPr>
          <w:highlight w:val="yellow"/>
        </w:rPr>
        <w:t xml:space="preserve"> and </w:t>
      </w:r>
      <w:r w:rsidRPr="00C13637">
        <w:rPr>
          <w:highlight w:val="yellow"/>
        </w:rPr>
        <w:fldChar w:fldCharType="begin"/>
      </w:r>
      <w:r w:rsidRPr="00C13637">
        <w:rPr>
          <w:highlight w:val="yellow"/>
        </w:rPr>
        <w:instrText xml:space="preserve"> ADDIN ZOTERO_ITEM CSL_CITATION {"citationID":"pmca1Cb9","properties":{"formattedCitation":"(Chen et al., 2020)","plainCitation":"(Chen et al., 2020)","dontUpdate":true,"noteIndex":0},"citationItems":[{"id":366,"uris":["http://zotero.org/users/local/ahqjqVuV/items/BG52LC48"],"itemData":{"id":366,"type":"article-journal","abstract":"Diazotrophs can produce bioavailable nitrogen from inert N2 gas by bioelectrochemical nitrogen fixation (e-BNF), which is emerging as an energy-saving and highly selective strategy for agriculture and industry. However, current e-BNF technology is impeded by requirements for NH4+-assimilation inhibitors to facilitate intracellular ammonia secretion and precious metal catalysts to generate H2 as the energy-carrying intermediate. Herein, we initially demonstrate inhibitor- and catalyst-less extracellular NH4+ production by the diazotroph Pseudomonas stutzeri A1501 using an electrode as the sole electron donor. Multiple lines of evidence revealed that P. stutzeri produced 2.32±0.25 mg/L of extracellular NH4+ at a poised potential of -0.3 V (vs. standard hydrogen electrode (SHE)) without the addition of inhibitors or expensive catalysts. The electron uptake mechanism was attributed to the endogenous electron shuttle phenazine-1-carboxylic acid, which was excreted by P. stutzeri and mediated electron transfer from electrodes into cells to directly drive N2 fixation. The faradaic efficiency was 20%±3% which was 2-4 times that of previous e-BNF using the H2-mediated pathway. This study reports a diazotroph capable of producing secretable NH4+ via extracellular electron uptake, which has important implications for optimizing the performance of e-BNF systems and exploring the novel nitrogen-fixing mode of syntrophic microbial communities in the natural environment.IMPORTANCE Ammonia greatly affects the global ecology, agriculture and the food industry. Diazotrophs with an enhanced capacity of extracellular NH4+ excretion have been proven to be more beneficial to the growth of microalgae and plants, whereas most previously reported diazotrophs produce intracellular organic nitrogen in the absence of chemical suppression and genetic manipulation. Here, we demonstrate that Pseudomonas stutzeri A1501 is capable of extracellular NH4+ production without chemical suppression or genetic manipulation when the extracellular electrode is used as the sole electron donor. We also reveal the electron uptake pathway from the extracellular electron-donating partner to P. stutzeri A1501 via redox electron shuttle phenazines. Since both P. stutzeri A1501 and potential electron-donating partners (such as electroactive microbes and natural semiconductor minerals) are abundant in diverse soils and sediments, P. stutzeri A1501 has broader implications on the improvement of nitrogen fertilization in the natural environment.","container-title":"Applied and Environmental Microbiology","DOI":"10.1128/AEM.01998-20","ISSN":"1098-5336","journalAbbreviation":"Appl Environ Microbiol","language":"eng","note":"PMID: 33310714\nPMCID: PMC8090881","source":"PubMed","title":"Bioelectrochemical nitrogen fixation to extracellular ammonium by Pseudomonas stutzeri","author":[{"family":"Chen","given":"Shanshan"},{"family":"Jing","given":"Xianyue"},{"family":"Yan","given":"Yongliang"},{"family":"Huang","given":"Shaofu"},{"family":"Liu","given":"Xing"},{"family":"Chen","given":"Piao"},{"family":"Zhou","given":"Shungui"}],"issued":{"date-parts":[["2020",12,11]]}}}],"schema":"https://github.com/citation-style-language/schema/raw/master/csl-citation.json"} </w:instrText>
      </w:r>
      <w:r w:rsidRPr="00C13637">
        <w:rPr>
          <w:highlight w:val="yellow"/>
        </w:rPr>
        <w:fldChar w:fldCharType="separate"/>
      </w:r>
      <w:r w:rsidRPr="00C13637">
        <w:rPr>
          <w:highlight w:val="yellow"/>
        </w:rPr>
        <w:t>Chen et al. (2020)</w:t>
      </w:r>
      <w:r w:rsidRPr="00C13637">
        <w:rPr>
          <w:highlight w:val="yellow"/>
        </w:rPr>
        <w:fldChar w:fldCharType="end"/>
      </w:r>
      <w:r w:rsidRPr="00C13637">
        <w:rPr>
          <w:highlight w:val="yellow"/>
        </w:rPr>
        <w:t xml:space="preserve"> with </w:t>
      </w:r>
      <w:r w:rsidRPr="00C13637">
        <w:rPr>
          <w:i/>
          <w:highlight w:val="yellow"/>
        </w:rPr>
        <w:t>Rhodopseudomonas palustris</w:t>
      </w:r>
      <w:r w:rsidRPr="00C13637">
        <w:rPr>
          <w:highlight w:val="yellow"/>
        </w:rPr>
        <w:t xml:space="preserve"> and </w:t>
      </w:r>
      <w:r w:rsidRPr="00C13637">
        <w:rPr>
          <w:i/>
          <w:highlight w:val="yellow"/>
        </w:rPr>
        <w:t>Pseudomonas stutzeri</w:t>
      </w:r>
      <w:r w:rsidR="00C10BAA">
        <w:rPr>
          <w:i/>
          <w:highlight w:val="yellow"/>
        </w:rPr>
        <w:fldChar w:fldCharType="begin"/>
      </w:r>
      <w:r w:rsidR="00C10BAA">
        <w:rPr>
          <w:i/>
          <w:highlight w:val="yellow"/>
        </w:rPr>
        <w:instrText xml:space="preserve"> ADDIN ZOTERO_ITEM CSL_CITATION {"citationID":"tu1tCBmk","properties":{"formattedCitation":"(Chen et al., 2020; Soundararajan et al., 2019)","plainCitation":"(Chen et al., 2020; Soundararajan et al., 2019)","noteIndex":0},"citationItems":[{"id":366,"uris":["http://zotero.org/users/local/ahqjqVuV/items/BG52LC48"],"itemData":{"id":366,"type":"article-journal","abstract":"Diazotrophs can produce bioavailable nitrogen from inert N2 gas by bioelectrochemical nitrogen fixation (e-BNF), which is emerging as an energy-saving and highly selective strategy for agriculture and industry. However, current e-BNF technology is impeded by requirements for NH4+-assimilation inhibitors to facilitate intracellular ammonia secretion and precious metal catalysts to generate H2 as the energy-carrying intermediate. Herein, we initially demonstrate inhibitor- and catalyst-less extracellular NH4+ production by the diazotroph Pseudomonas stutzeri A1501 using an electrode as the sole electron donor. Multiple lines of evidence revealed that P. stutzeri produced 2.32±0.25 mg/L of extracellular NH4+ at a poised potential of -0.3 V (vs. standard hydrogen electrode (SHE)) without the addition of inhibitors or expensive catalysts. The electron uptake mechanism was attributed to the endogenous electron shuttle phenazine-1-carboxylic acid, which was excreted by P. stutzeri and mediated electron transfer from electrodes into cells to directly drive N2 fixation. The faradaic efficiency was 20%±3% which was 2-4 times that of previous e-BNF using the H2-mediated pathway. This study reports a diazotroph capable of producing secretable NH4+ via extracellular electron uptake, which has important implications for optimizing the performance of e-BNF systems and exploring the novel nitrogen-fixing mode of syntrophic microbial communities in the natural environment.IMPORTANCE Ammonia greatly affects the global ecology, agriculture and the food industry. Diazotrophs with an enhanced capacity of extracellular NH4+ excretion have been proven to be more beneficial to the growth of microalgae and plants, whereas most previously reported diazotrophs produce intracellular organic nitrogen in the absence of chemical suppression and genetic manipulation. Here, we demonstrate that Pseudomonas stutzeri A1501 is capable of extracellular NH4+ production without chemical suppression or genetic manipulation when the extracellular electrode is used as the sole electron donor. We also reveal the electron uptake pathway from the extracellular electron-donating partner to P. stutzeri A1501 via redox electron shuttle phenazines. Since both P. stutzeri A1501 and potential electron-donating partners (such as electroactive microbes and natural semiconductor minerals) are abundant in diverse soils and sediments, P. stutzeri A1501 has broader implications on the improvement of nitrogen fertilization in the natural environment.","container-title":"Applied and Enviro</w:instrText>
      </w:r>
      <w:r w:rsidR="00C10BAA" w:rsidRPr="00025F4C">
        <w:rPr>
          <w:i/>
          <w:highlight w:val="yellow"/>
          <w:lang w:val="fr-FR"/>
        </w:rPr>
        <w:instrText>nmental Micr</w:instrText>
      </w:r>
      <w:r w:rsidR="00C10BAA" w:rsidRPr="00FF622B">
        <w:rPr>
          <w:i/>
          <w:highlight w:val="yellow"/>
          <w:lang w:val="fr-FR"/>
        </w:rPr>
        <w:instrText xml:space="preserve">obiology","DOI":"10.1128/AEM.01998-20","ISSN":"1098-5336","journalAbbreviation":"Appl Environ Microbiol","language":"eng","note":"PMID: 33310714\nPMCID: PMC8090881","source":"PubMed","title":"Bioelectrochemical nitrogen fixation to extracellular ammonium by Pseudomonas stutzeri","author":[{"family":"Chen","given":"Shanshan"},{"family":"Jing","given":"Xianyue"},{"family":"Yan","given":"Yongliang"},{"family":"Huang","given":"Shaofu"},{"family":"Liu","given":"Xing"},{"family":"Chen","given":"Piao"},{"family":"Zhou","given":"Shungui"}],"issued":{"date-parts":[["2020",12,11]]}}},{"id":177,"uris":["http://zotero.org/users/local/ahqjqVuV/items/LMWWP63Q"],"itemData":{"id":177,"type":"article-journal","container-title":"Frontiers in Microbiology","DOI":"10.3389/fmicb.2019.01817","ISSN":"1664-302X","journalAbbreviation":"Front. Microbiol.","page":"1817","source":"DOI.org (Crossref)","title":"Phototrophic N2 and CO2 Fixation Using a Rhodopseudomonas palustris-H2 Mediated Electrochemical System With Infrared Photons","volume":"10","author":[{"family":"Soundararajan","given":"Mathangi"},{"family":"Ledbetter","given":"Rhesa"},{"family":"Kusuma","given":"Paul"},{"family":"Zhen","given":"Shuyang"},{"family":"Ludden","given":"Paul"},{"family":"Bugbee","given":"Bruce"},{"family":"Ensign","given":"Scott A."},{"family":"Seefeldt","given":"Lance C."}],"issued":{"date-parts":[["2019",8,14]]}}}],"schema":"https://github.com/citation-style-language/schema/raw/master/csl-citation.json"} </w:instrText>
      </w:r>
      <w:r w:rsidR="00C10BAA">
        <w:rPr>
          <w:i/>
          <w:highlight w:val="yellow"/>
        </w:rPr>
        <w:fldChar w:fldCharType="separate"/>
      </w:r>
      <w:r w:rsidR="00C10BAA" w:rsidRPr="00FF622B">
        <w:rPr>
          <w:rFonts w:ascii="Calibri" w:hAnsi="Calibri" w:cs="Calibri"/>
          <w:highlight w:val="yellow"/>
          <w:lang w:val="fr-FR"/>
        </w:rPr>
        <w:t>(Chen et al., 2020; Soundararajan et al., 2019)</w:t>
      </w:r>
      <w:r w:rsidR="00C10BAA">
        <w:rPr>
          <w:i/>
          <w:highlight w:val="yellow"/>
        </w:rPr>
        <w:fldChar w:fldCharType="end"/>
      </w:r>
      <w:r w:rsidRPr="00FF622B">
        <w:rPr>
          <w:highlight w:val="yellow"/>
          <w:lang w:val="fr-FR"/>
        </w:rPr>
        <w:t xml:space="preserve">. </w:t>
      </w:r>
      <w:r w:rsidRPr="00C13637">
        <w:rPr>
          <w:highlight w:val="yellow"/>
        </w:rPr>
        <w:fldChar w:fldCharType="begin"/>
      </w:r>
      <w:r w:rsidRPr="00FF622B">
        <w:rPr>
          <w:highlight w:val="yellow"/>
          <w:lang w:val="fr-FR"/>
        </w:rPr>
        <w:instrText xml:space="preserve"> ADDIN ZOTERO_ITEM CSL_CITATION {"citationID":"ylx7H4BI","properties":{"formattedCitation":"(Yadav et al., 2022)","plainCitation":"(Yadav et al., 2022)","dontUpdate":true,"noteIndex":0},"citationItems":[{"id":465,"uris":["http://zotero.org/users/local/ahqjqVuV/items/8UI95P4Z"],"itemData":{"id":465,"type":"article-journal","abstract":"Microbial electrosynthesis (MES) is an emerging technology with the potential to reduce carbon emissions by converting CO2 and renewable power into chemicals. Here, MES of acetate using gaseous N2 as a nitrogen source is investigated as an approach to substitute fixed nitrogen (ammonia) in the process. At an applied cathode potential of − 0.995 V vs. SHE, the mixed microbial community with a few known N2 and CO2 fixing microorganisms produced 463.5 ± 14 mg/l acetate using gaseous N2 and CO2 feedstock along with traces of ammonia (0.80 ± 0.06 mg/l) confirming the simultaneous fixation of these gases. Up to 85%, 0.5%, and 4.9% electrons were recovered in acetate, ammonia, and biomass, respectively, with a maximum of 39% energetic efficiency. A preliminary analysis suggested the possibility of bringing down a considerable amount of CO2 from going into the environment both by fixing CO2 into acetate and avoiding the use of fixed ammonia, the production of which is associated with the CO2 emissions. Thus, the demonstrated process circumvents the conventional fixed nitrogen (ammonia) usage in MES while still being able to produce considerable acetate from CO2.","container-title":"Journal of CO2 Utilization","DOI":"10.1016/j.jcou.2022.101997","ISSN":"2212-9820","journalAbbreviation":"Journal of CO2 Utilization","language":"en","page":"101997","source":"ScienceDirect","title":"Electricity-driven bioproduction from CO2 and N2 feedstocks using enriched mixed microbial culture","volume":"60","author":[{"family":"Yadav","given":"Ravineet"},{"family":"Chiranjeevi","given":"P."},{"family":"Yadav","given":"Sukrampal"},{"family":"Singh","given":"Ramandeep"},{"family":"Patil","given":"Sunil A."}],"issued":{"date-parts":[["2022",6,1]]}}}],"schema":"https://github.com/citation-style-language/schema/raw/master/csl-citation.json"} </w:instrText>
      </w:r>
      <w:r w:rsidRPr="00C13637">
        <w:rPr>
          <w:highlight w:val="yellow"/>
        </w:rPr>
        <w:fldChar w:fldCharType="separate"/>
      </w:r>
      <w:r w:rsidRPr="00FF622B">
        <w:rPr>
          <w:highlight w:val="yellow"/>
          <w:lang w:val="fr-FR"/>
        </w:rPr>
        <w:t>Yadav et al. (2022)</w:t>
      </w:r>
      <w:r w:rsidRPr="00C13637">
        <w:rPr>
          <w:highlight w:val="yellow"/>
        </w:rPr>
        <w:fldChar w:fldCharType="end"/>
      </w:r>
      <w:r w:rsidRPr="00FF622B">
        <w:rPr>
          <w:highlight w:val="yellow"/>
          <w:lang w:val="fr-FR"/>
        </w:rPr>
        <w:t xml:space="preserve"> demonstrated the possible use of N</w:t>
      </w:r>
      <w:r w:rsidRPr="00FF622B">
        <w:rPr>
          <w:highlight w:val="yellow"/>
          <w:vertAlign w:val="subscript"/>
          <w:lang w:val="fr-FR"/>
        </w:rPr>
        <w:t>2</w:t>
      </w:r>
      <w:r w:rsidRPr="00FF622B">
        <w:rPr>
          <w:highlight w:val="yellow"/>
          <w:lang w:val="fr-FR"/>
        </w:rPr>
        <w:t>-fixing bacteria as nitrogen source in a microbial electrosynthesis process of acetate</w:t>
      </w:r>
      <w:r w:rsidR="00C10BAA">
        <w:rPr>
          <w:highlight w:val="yellow"/>
        </w:rPr>
        <w:fldChar w:fldCharType="begin"/>
      </w:r>
      <w:r w:rsidR="00C10BAA" w:rsidRPr="00FF622B">
        <w:rPr>
          <w:highlight w:val="yellow"/>
          <w:lang w:val="fr-FR"/>
        </w:rPr>
        <w:instrText xml:space="preserve"> ADDIN ZOTERO_ITEM CSL_CITATION {"citationID":"v0974uIe","properties":{"formattedCitation":"(Yadav et al., 2022)","plainCitation":"(Yadav et al., 2022)","noteIndex":0},"citationItems":[{"id":465,"uris":["http://zotero.org/users/local/ahqjqVuV/items/8UI95P4Z"],"itemData":{"id":465,"type":"article-journal","abstract":"Microbial electrosynthesis (MES) is an emerging technology with the potential to reduce carbon emissions by converting CO2 and renewable power into chemicals. Here, MES of acetate using gaseous N2 as a nitrogen source is investigated as an approach to substitute fixed nitrogen (ammonia) in the process. At an applied cathode potential of − 0.995 V vs. SHE, the mixed microbial community with a few known N2 and CO2 fixing microorganisms produced 463.5 ± 14 mg/l acetate using gaseous N2 and CO2 feedstock along with traces of ammonia (0.80 ± 0.06 mg/l) confirming the simultaneous fixation of these gases. Up to 85%, 0.5%, and 4.9% electrons were recovered in acetate, ammonia, and biomass, respectively, with a maximum of 39% energetic efficiency. A preliminary analysis suggested the possibility of bringing down a considerable amount of CO2 from going into the environment both by fixing CO2 into acetate and avoiding the use of fixed ammonia, the production of which is associated with the CO2 emissions. Thus, the demonstrated process circumvents the conventional fixed nitrogen (ammonia) usage in MES while still being able to produce considerable acetate from CO2.","container-title":"Journal of CO2 Utilization","DOI":"10.1016/j.jcou.2022.101997","ISSN":"2212-9820","journalAbbreviation":"Journal of CO2 Utilization","language":"en","page":"101997","source":"ScienceDirect","title":"Electricity-driven bioproduction from CO2 and N2 feedstocks using enriched mixed microbial culture","volume":"60","author":[{"family":"Yadav","given":"Ravineet"},{"family":"Chiranjeevi","given":"P."},{"family":"Yadav","given":"Sukrampal"},{"family":"Singh","given":"Ramandeep"},{"family":"Patil","given":"Sunil A."}],"issued":{"date-parts":[["2022",6,1]]}}}],"schema":"https://github.com/citation-style-language/schema/raw/master/csl-citation.json"} </w:instrText>
      </w:r>
      <w:r w:rsidR="00C10BAA">
        <w:rPr>
          <w:highlight w:val="yellow"/>
        </w:rPr>
        <w:fldChar w:fldCharType="separate"/>
      </w:r>
      <w:r w:rsidR="00C10BAA" w:rsidRPr="00FF622B">
        <w:rPr>
          <w:rFonts w:ascii="Calibri" w:hAnsi="Calibri" w:cs="Calibri"/>
          <w:highlight w:val="yellow"/>
          <w:lang w:val="fr-FR"/>
        </w:rPr>
        <w:t>(Yadav et al., 2022)</w:t>
      </w:r>
      <w:r w:rsidR="00C10BAA">
        <w:rPr>
          <w:highlight w:val="yellow"/>
        </w:rPr>
        <w:fldChar w:fldCharType="end"/>
      </w:r>
      <w:r w:rsidRPr="00FF622B">
        <w:rPr>
          <w:highlight w:val="yellow"/>
          <w:lang w:val="fr-FR"/>
        </w:rPr>
        <w:t xml:space="preserve">. </w:t>
      </w:r>
      <w:r w:rsidRPr="00C13637">
        <w:rPr>
          <w:highlight w:val="yellow"/>
        </w:rPr>
        <w:fldChar w:fldCharType="begin"/>
      </w:r>
      <w:r w:rsidRPr="00FF622B">
        <w:rPr>
          <w:highlight w:val="yellow"/>
          <w:lang w:val="fr-FR"/>
        </w:rPr>
        <w:instrText xml:space="preserve"> ADDIN ZOTERO_ITEM CSL_CITATION {"citationID":"gvHSMZl9","properties":{"formattedCitation":"(Zhang et al., 2022)","plainCitation":"(Zhang et al., 2022)","dontUpdate":true,"noteIndex":0},"citationItems":[{"id":566,"uris":["http://zotero.org/users/local/ahqjqVuV/items/WG5R9KMX"],"itemData":{"id":566,"type":"article-journal","abstract":"Microbial electrosynthesis is a promising technology for high-value added products generation from organic and inorganic waste. In this work, autotrophic dual-chamber microbial electrolysis cells (MECs) were set up for N2 fixation at -0.9 V vs Ag/AgCl (sat. KCl) cathodic potential under ambient conditions. Higher NH4+ production yield (average value of 0.35 µmol h-1 cm-2, normalized to cathode surface area) and higher faradaic efficiency (FE, 20.25%) were obtained with intermittent addition of N2 and CO2, while the yield and FE were only 0.018 µmol h-1 cm-2 and 4.21% in the absence of CO2. Furthermore, cyclic voltammograms (CV) explained the bioelectrochemical behavior of N2 reduction was coupled with CO2 reduction in the autotrophic MECs. Microbial community analysis and functional prediction in the cathodic chamber revealed that Xanthobacter and Hydrogenophaga played as producers for N2 and CO2 fixation and Pannonibacter acting as a decomposer for converting organic nitrogen to ammonium. This work not only provided an optional bioelectrocatalytic method for N2 fixation with negative CO2-emissions but also revealed the mechanism of simultaneous fixation of N2 and CO2 via Calvin cycle in autotrophic MECs.","container-title":"Bioelectrochemistry (Amsterdam, Netherlands)","DOI":"10.1016/j.bioelechem.2021.108044","ISSN":"1878-562X","journalAbbreviation":"Bioelectrochemistry","language":"eng","note":"PMID: 34974371","page":"108044","source":"PubMed","title":"Improving electroautotrophic ammonium production from nitrogen gas by simultaneous carbon dioxide fixation in a dual-chamber microbial electrolysis cell","volume":"144","author":[{"family":"Zhang","given":"Lixia"},{"family":"Tian","given":"Chang"},{"family":"Wang","given":"Haoran"},{"family":"Gu","given":"Wenzhi"},{"family":"Zheng","given":"Decong"},{"family":"Cui","given":"Mengyao"},{"family":"Wang","given":"Xiaomei"},{"family":"He","given":"Xiaohong"},{"family":"Zhan","given":"Guoqiang"},{"family":"Li","given":"Daping"}],"issued":{"date-parts":[["2022",4]]}}}],"schema":"https://github.com/citation-style-language/schema/raw/master/csl-citation.json"} </w:instrText>
      </w:r>
      <w:r w:rsidRPr="00C13637">
        <w:rPr>
          <w:highlight w:val="yellow"/>
        </w:rPr>
        <w:fldChar w:fldCharType="separate"/>
      </w:r>
      <w:r w:rsidRPr="00FF622B">
        <w:rPr>
          <w:highlight w:val="yellow"/>
          <w:lang w:val="fr-FR"/>
        </w:rPr>
        <w:t>Zhang et al. (2022)</w:t>
      </w:r>
      <w:r w:rsidRPr="00C13637">
        <w:rPr>
          <w:highlight w:val="yellow"/>
        </w:rPr>
        <w:fldChar w:fldCharType="end"/>
      </w:r>
      <w:r w:rsidRPr="00FF622B">
        <w:rPr>
          <w:highlight w:val="yellow"/>
          <w:lang w:val="fr-FR"/>
        </w:rPr>
        <w:t xml:space="preserve"> also worked on a system of N</w:t>
      </w:r>
      <w:r w:rsidRPr="00FF622B">
        <w:rPr>
          <w:highlight w:val="yellow"/>
          <w:vertAlign w:val="subscript"/>
          <w:lang w:val="fr-FR"/>
        </w:rPr>
        <w:t>2</w:t>
      </w:r>
      <w:r w:rsidRPr="00FF622B">
        <w:rPr>
          <w:highlight w:val="yellow"/>
          <w:lang w:val="fr-FR"/>
        </w:rPr>
        <w:t xml:space="preserve"> fixation in microbial electrolysis cell (MEC)</w:t>
      </w:r>
      <w:r w:rsidR="00C10BAA">
        <w:rPr>
          <w:highlight w:val="yellow"/>
        </w:rPr>
        <w:fldChar w:fldCharType="begin"/>
      </w:r>
      <w:r w:rsidR="00C10BAA" w:rsidRPr="00FF622B">
        <w:rPr>
          <w:highlight w:val="yellow"/>
          <w:lang w:val="fr-FR"/>
        </w:rPr>
        <w:instrText xml:space="preserve"> ADDIN ZOTERO_ITEM CSL_CITATION {"citationID":"gzbdyVta","properties":{"formattedCitation":"(Zhang et al., 2022)","plainCitation":"(Zhang et al., 2022)","noteIndex":0},"citationItems":[{"id":566,"uris":["http://zotero.org/users/local/ahqjqVuV/items/WG5R9KMX"],"itemData":{"id":566,"type":"article-journal","abstract":"Microbial electrosynthesis is a promising technology for high-value added products generation from organic and inorganic waste. In this work, autotrophic dual-chamber microbial electrolysis cells (MECs) were set up for N2 fixation at -0.9 V vs Ag/AgCl (sat. KCl) cathodic potential under ambient conditions. Higher NH4+ production yield (average value of 0.35 µmol h-1 cm-2, normalized to cathode surface area) and higher faradaic efficiency (FE, 20.25%) were obtained with intermittent addition of N2 and CO2, while the yield and FE were only 0.018 µmol h-1 cm-2 and 4.21% in the absence of CO2. Furthermore, cyclic voltammograms (CV) expl</w:instrText>
      </w:r>
      <w:r w:rsidR="00C10BAA" w:rsidRPr="00025F4C">
        <w:rPr>
          <w:highlight w:val="yellow"/>
        </w:rPr>
        <w:instrText>ained the bioelectrochemical behavior of N2 reduction was coupled with CO2 reduction in the autotrophic MECs. Microbial community analysis and functional prediction in the cathodic chamber revealed that Xanthobacter and Hydrogenophaga played as producers for N2 and CO2 fixation and Pannonibacter acting as a decomposer for converting organic nitrogen to ammonium. This work not only provided an optional bioelectrocatalytic method for N2 fixation with negat</w:instrText>
      </w:r>
      <w:r w:rsidR="00C10BAA">
        <w:rPr>
          <w:highlight w:val="yellow"/>
        </w:rPr>
        <w:instrText xml:space="preserve">ive CO2-emissions but also revealed the mechanism of simultaneous fixation of N2 and CO2 via Calvin cycle in autotrophic MECs.","container-title":"Bioelectrochemistry (Amsterdam, Netherlands)","DOI":"10.1016/j.bioelechem.2021.108044","ISSN":"1878-562X","journalAbbreviation":"Bioelectrochemistry","language":"eng","note":"PMID: 34974371","page":"108044","source":"PubMed","title":"Improving electroautotrophic ammonium production from nitrogen gas by simultaneous carbon dioxide fixation in a dual-chamber microbial electrolysis cell","volume":"144","author":[{"family":"Zhang","given":"Lixia"},{"family":"Tian","given":"Chang"},{"family":"Wang","given":"Haoran"},{"family":"Gu","given":"Wenzhi"},{"family":"Zheng","given":"Decong"},{"family":"Cui","given":"Mengyao"},{"family":"Wang","given":"Xiaomei"},{"family":"He","given":"Xiaohong"},{"family":"Zhan","given":"Guoqiang"},{"family":"Li","given":"Daping"}],"issued":{"date-parts":[["2022",4]]}}}],"schema":"https://github.com/citation-style-language/schema/raw/master/csl-citation.json"} </w:instrText>
      </w:r>
      <w:r w:rsidR="00C10BAA">
        <w:rPr>
          <w:highlight w:val="yellow"/>
        </w:rPr>
        <w:fldChar w:fldCharType="separate"/>
      </w:r>
      <w:r w:rsidR="00C10BAA" w:rsidRPr="00C10BAA">
        <w:rPr>
          <w:rFonts w:ascii="Calibri" w:hAnsi="Calibri" w:cs="Calibri"/>
          <w:highlight w:val="yellow"/>
        </w:rPr>
        <w:t>(Zhang et al., 2022)</w:t>
      </w:r>
      <w:r w:rsidR="00C10BAA">
        <w:rPr>
          <w:highlight w:val="yellow"/>
        </w:rPr>
        <w:fldChar w:fldCharType="end"/>
      </w:r>
      <w:r w:rsidRPr="00C13637">
        <w:rPr>
          <w:highlight w:val="yellow"/>
        </w:rPr>
        <w:t>. In these works, the authors investigated the interactions existing between CO</w:t>
      </w:r>
      <w:r w:rsidRPr="00C13637">
        <w:rPr>
          <w:highlight w:val="yellow"/>
          <w:vertAlign w:val="subscript"/>
        </w:rPr>
        <w:t>2</w:t>
      </w:r>
      <w:r w:rsidRPr="00C13637">
        <w:rPr>
          <w:highlight w:val="yellow"/>
        </w:rPr>
        <w:t xml:space="preserve"> and N</w:t>
      </w:r>
      <w:r w:rsidRPr="00C13637">
        <w:rPr>
          <w:highlight w:val="yellow"/>
          <w:vertAlign w:val="subscript"/>
        </w:rPr>
        <w:t>2</w:t>
      </w:r>
      <w:r w:rsidRPr="00C13637">
        <w:rPr>
          <w:highlight w:val="yellow"/>
        </w:rPr>
        <w:t xml:space="preserve"> fixation microbial processes. Coupling capabilities of N</w:t>
      </w:r>
      <w:r w:rsidRPr="00C13637">
        <w:rPr>
          <w:highlight w:val="yellow"/>
          <w:vertAlign w:val="subscript"/>
        </w:rPr>
        <w:t>2</w:t>
      </w:r>
      <w:r w:rsidRPr="00C13637">
        <w:rPr>
          <w:highlight w:val="yellow"/>
        </w:rPr>
        <w:t xml:space="preserve"> fixation in bioelectrochemical systems as possible source of nitrogen for other biological systems was subject of interest. Indeed, such coupling can lead to the production of molecules of interest such as acetate by reducing the environmental impact of the use of reactive nitrogen often in the form of NH</w:t>
      </w:r>
      <w:r w:rsidRPr="00C13637">
        <w:rPr>
          <w:highlight w:val="yellow"/>
          <w:vertAlign w:val="subscript"/>
        </w:rPr>
        <w:t>4</w:t>
      </w:r>
      <w:r w:rsidRPr="00C13637">
        <w:rPr>
          <w:highlight w:val="yellow"/>
        </w:rPr>
        <w:t xml:space="preserve">Cl </w:t>
      </w:r>
      <w:r w:rsidRPr="00C13637">
        <w:rPr>
          <w:highlight w:val="yellow"/>
        </w:rPr>
        <w:fldChar w:fldCharType="begin"/>
      </w:r>
      <w:r w:rsidRPr="00C13637">
        <w:rPr>
          <w:highlight w:val="yellow"/>
        </w:rPr>
        <w:instrText xml:space="preserve"> ADDIN ZOTERO_ITEM CSL_CITATION {"citationID":"a7jWKSQk","properties":{"formattedCitation":"(Yadav et al., 2022)","plainCitation":"(Yadav et al., 2022)","noteIndex":0},"citationItems":[{"id":465,"uris":["http://zotero.org/users/local/ahqjqVuV/items/8UI95P4Z"],"itemData":{"id":465,"type":"article-journal","abstract":"Microbial electrosynthesis (MES) is an emerging technology with the potential to reduce carbon emissions by converting CO2 and renewable power into chemicals. Here, MES of acetate using gaseous N2 as a nitrogen source is investigated as an approach to substitute fixed nitrogen (ammonia) in the process. At an applied cathode potential of − 0.995 V vs. SHE, the mixed microbial community with a few known N2 and CO2 fixing microorganisms produced 463.5 ± 14 mg/l acetate using gaseous N2 and CO2 feedstock along with traces of ammonia (0.80 ± 0.06 mg/l) confirming the simultaneous fixation of these gases. Up to 85%, 0.5%, and 4.9% electrons were recovered in acetate, ammonia, and biomass, respectively, with a maximum of 39% energetic efficiency. A preliminary analysis suggested the possibility of bringing down a considerable amount of CO2 from going into the environment both by fixing CO2 into acetate and avoiding the use of fixed ammonia, the production of which is associated with the CO2 emissions. Thus, the demonstrated process circumvents the conventional fixed nitrogen (ammonia) usage in MES while still being able to produce considerable acetate from CO2.","container-title":"Journal of CO2 Utilization","DOI":"10.1016/j.jcou.2022.101997","ISSN":"2212-9820","journalAbbreviation":"Journal of CO2 Utilization","language":"en","page":"101997","source":"ScienceDirect","title":"Electricity-driven bioproduction from CO2 and N2 feedstocks using enriched mixed microbial culture","volume":"60","author":[{"family":"Yadav","given":"Ravineet"},{"family":"Chiranjeevi","given":"P."},{"family":"Yadav","given":"Sukrampal"},{"family":"Singh","given":"Ramandeep"},{"family":"Patil","given":"Sunil A."}],"issued":{"date-parts":[["2022",6,1]]}}}],"schema":"https://github.com/citation-style-language/schema/raw/master/csl-citation.json"} </w:instrText>
      </w:r>
      <w:r w:rsidRPr="00C13637">
        <w:rPr>
          <w:highlight w:val="yellow"/>
        </w:rPr>
        <w:fldChar w:fldCharType="separate"/>
      </w:r>
      <w:r w:rsidRPr="00C13637">
        <w:rPr>
          <w:highlight w:val="yellow"/>
        </w:rPr>
        <w:t>(Yadav et al., 2022)</w:t>
      </w:r>
      <w:r w:rsidRPr="00C13637">
        <w:rPr>
          <w:highlight w:val="yellow"/>
        </w:rPr>
        <w:fldChar w:fldCharType="end"/>
      </w:r>
      <w:r w:rsidRPr="00C13637">
        <w:rPr>
          <w:highlight w:val="yellow"/>
        </w:rPr>
        <w:t xml:space="preserve">. The work of Li et al. </w:t>
      </w:r>
      <w:r w:rsidRPr="00C13637">
        <w:rPr>
          <w:highlight w:val="yellow"/>
        </w:rPr>
        <w:fldChar w:fldCharType="begin"/>
      </w:r>
      <w:r w:rsidR="00402127">
        <w:rPr>
          <w:highlight w:val="yellow"/>
        </w:rPr>
        <w:instrText xml:space="preserve"> ADDIN ZOTERO_ITEM CSL_CITATION {"citationID":"wbAfcDse","properties":{"formattedCitation":"(Li et al., 2022)","plainCitation":"(Li et al., 2022)","dontUpdate":true,"noteIndex":0},"citationItems":[{"id":852,"uris":["http://zotero.org/users/local/ahqjqVuV/items/4LYEGE4V"],"itemData":{"id":852,"type":"article-journal","abstract":"Background Nowadays, microbial electrochemistry is widely used to produce valuable products (CH4, CH3CH2OH, CH3COOH, etc.) from carbon dioxide. Meanwhile, given that low-value nitrogen (N2) is abundantly available as a feedstock for chemicals, thus ammonia (NH3) synthesis using bioelectrochemistry is still a promising technology. However, considering N2 stability and ammonium (NH4+) adsorption with a proton exchange membrane, developing suitable microbial systems for NH3 synthesis still faces challenges. Based on this, we developed a single-chamber biocathode bioelectrochemical system for efficient NH3 production. Results For the reaction system that we constructed, NH4+ production reached 6.31 mg L−1 within 10 days, and NH4+ production was positively correlated with current density. A C2H2 reduction assay further verified the activity of nitrogenase enzyme. Microbial community analysis revealed that Clostridia plays a crucial role in the N2 fixation process, and the synergistic interaction between different microorganisms favors electron transfer and an increase in NH3 production. Conclusions The results of a series of experiments have proved that this green and economical method can be used to efficiently generate NH4+. This reaction system not only utilizes the advantages of obtaining electrons for reduction reaction, but also improves electron transfer and avoids the shortcomings of NH4+ adsorption. Additionally, this in-depth study of N2 fixation mechanism provides a theoretical reference for other applications of bioelectrochemical systems. © 2022 Society of Chemical Industry (SCI).","container-title":"Journal of Chemical Technology &amp; Biotechnology","DOI":"10.1002/jctb.7092","ISSN":"1097-4660","issue":"8","language":"en","note":"_eprint: https://onlinelibrary.wiley.com/doi/pdf/10.1002/jctb.7092","page":"2163-2170","source":"Wiley Online Library","title":"Investigating the performance and mechanism of nitrogen gas fixation and conversion to ammonia based on biocathode bioelectrochemistry system","volume":"97","author":[{"family":"Li","given":"Fang-fang"},{"family":"Li","given":"Fei-fei"},{"family":"Lin","given":"Yu"},{"family":"Guo","given":"Li-jun"},{"family":"Zhang","given":"Lu-lu"},{"family":"Li","given":"Rui"},{"family":"Tian","given":"Qi-yuan"},{"family":"Wang","given":"Yun-fang"},{"family":"Wang","given":"Ya-wen"},{"family":"Zhang","given":"Xiao-chao"},{"family":"Liu","given":"Jian-xin"},{"family":"Fan","given":"Cai-mei"}],"issued":{"date-parts":[["2022"]]}}}],"schema":"https://github.com/citation-style-language/schema/raw/master/csl-citation.json"} </w:instrText>
      </w:r>
      <w:r w:rsidRPr="00C13637">
        <w:rPr>
          <w:highlight w:val="yellow"/>
        </w:rPr>
        <w:fldChar w:fldCharType="separate"/>
      </w:r>
      <w:r w:rsidRPr="00C13637">
        <w:rPr>
          <w:highlight w:val="yellow"/>
        </w:rPr>
        <w:t>(2022)</w:t>
      </w:r>
      <w:r w:rsidRPr="00C13637">
        <w:rPr>
          <w:highlight w:val="yellow"/>
        </w:rPr>
        <w:fldChar w:fldCharType="end"/>
      </w:r>
      <w:r w:rsidRPr="00C13637">
        <w:rPr>
          <w:highlight w:val="yellow"/>
        </w:rPr>
        <w:t xml:space="preserve"> in a single-chamber system and highlighted an importance of synergy within an N</w:t>
      </w:r>
      <w:r w:rsidRPr="00C13637">
        <w:rPr>
          <w:highlight w:val="yellow"/>
          <w:vertAlign w:val="subscript"/>
        </w:rPr>
        <w:t>2</w:t>
      </w:r>
      <w:r w:rsidRPr="00C13637">
        <w:rPr>
          <w:highlight w:val="yellow"/>
        </w:rPr>
        <w:t>-fixing community in a microbial bioremediation system</w:t>
      </w:r>
      <w:r w:rsidR="00402127">
        <w:rPr>
          <w:highlight w:val="yellow"/>
        </w:rPr>
        <w:t xml:space="preserve"> </w:t>
      </w:r>
      <w:r w:rsidR="00402127">
        <w:rPr>
          <w:highlight w:val="yellow"/>
        </w:rPr>
        <w:fldChar w:fldCharType="begin"/>
      </w:r>
      <w:r w:rsidR="00402127">
        <w:rPr>
          <w:highlight w:val="yellow"/>
        </w:rPr>
        <w:instrText xml:space="preserve"> ADDIN ZOTERO_ITEM CSL_CITATION {"citationID":"KXwpkfKE","properties":{"formattedCitation":"(Li et al., 2022)","plainCitation":"(Li et al., 2022)","noteIndex":0},"citationItems":[{"id":852,"uris":["http://zotero.org/users/local/ahqjqVuV/items/4LYEGE4V"],"itemData":{"id":852,"type":"article-journal","abstract":"Background Nowadays, microbial electrochemistry is widely used to produce valuable products (CH4, CH3CH2OH, CH3COOH, etc.) from carbon dioxide. Meanwhile, given that low-value nitrogen (N2) is abundantly available as a feedstock for chemicals, thus ammonia (NH3) synthesis using bioelectrochemistry is still a promising technology. However, considering N2 stability and ammonium (NH4+) adsorption with a proton exchange membrane, developing suitable microbial systems for NH3 synthesis still faces challenges. Based on this, we developed a single-chamber biocathode bioelectrochemical system for efficient NH3 production. Results For the reaction system that we constructed, NH4+ production reached 6.31 mg L−1 within 10 days, and NH4+ production was positively correlated with current density. A C2H2 reduction assay further verified the activity of nitrogenase enzyme. Microbial community analysis revealed that Clostridia plays a crucial role in the N2 fixation process, and the synergistic interaction between different microorganisms favors electron transfer and an increase in NH3 production. Conclusions The results of a series of experiments have proved that this green and economical method can be used to efficiently generate NH4+. This reaction system not only utilizes the advantages of obtaining electrons for reduction reaction, but also improves electron transfer and avoids the shortcomings of NH4+ adsorption. Additionally, this in-depth study of N2 fixation mechanism provides a theoretical reference for other applications of bioelectrochemical systems. © 2022 Society of Chemical Industry (SCI).","container-title":"Journal of Chemical Technology &amp; Biotechnology","DOI":"10.1002/jctb.7092","ISSN":"1097-4660","issue":"8","language":"en","note":"_eprint: https://onlinelibrary.wiley.com/doi/pdf/10.1002/jctb.7092","page":"2163-2170","source":"Wiley Online Library","title":"Investigating the performance and mechanism of nitrogen gas fixation and conversion to ammonia based on biocathode bioelectrochemistry system","volume":"97","author":[{"family":"Li","given":"Fang-fang"},{"family":"Li","given":"Fei-fei"},{"family":"Lin","given":"Yu"},{"family":"Guo","given":"Li-jun"},{"family":"Zhang","given":"Lu-lu"},{"family":"Li","given":"Rui"},{"family":"Tian","given":"Qi-yuan"},{"family":"Wang","given":"Yun-fang"},{"family":"Wang","given":"Ya-wen"},{"family":"Zhang","given":"Xiao-chao"},{"family":"Liu","given":"Jian-xin"},{"family":"Fan","given":"Cai-mei"}],"issued":{"date-parts":[["2022"]]}}}],"schema":"https://github.com/citation-style-language/schema/raw/master/csl-citation.json"} </w:instrText>
      </w:r>
      <w:r w:rsidR="00402127">
        <w:rPr>
          <w:highlight w:val="yellow"/>
        </w:rPr>
        <w:fldChar w:fldCharType="separate"/>
      </w:r>
      <w:r w:rsidR="00402127" w:rsidRPr="00402127">
        <w:rPr>
          <w:rFonts w:ascii="Calibri" w:hAnsi="Calibri" w:cs="Calibri"/>
          <w:highlight w:val="yellow"/>
        </w:rPr>
        <w:t>(Li et al., 2022)</w:t>
      </w:r>
      <w:r w:rsidR="00402127">
        <w:rPr>
          <w:highlight w:val="yellow"/>
        </w:rPr>
        <w:fldChar w:fldCharType="end"/>
      </w:r>
      <w:r w:rsidRPr="00C13637">
        <w:rPr>
          <w:highlight w:val="yellow"/>
        </w:rPr>
        <w:t>.</w:t>
      </w:r>
    </w:p>
    <w:p w14:paraId="65162F9B" w14:textId="1A92D2AC" w:rsidR="00D36711" w:rsidRPr="00D36711" w:rsidRDefault="0099333F" w:rsidP="00C13637">
      <w:pPr>
        <w:pStyle w:val="PCJtext"/>
      </w:pPr>
      <w:r w:rsidRPr="00C13637">
        <w:rPr>
          <w:highlight w:val="yellow"/>
        </w:rPr>
        <w:t>All this work has demonstrated that it is possible to use a cathode as an electron source for biomass growth by fixing N</w:t>
      </w:r>
      <w:r w:rsidRPr="00C13637">
        <w:rPr>
          <w:highlight w:val="yellow"/>
          <w:vertAlign w:val="subscript"/>
        </w:rPr>
        <w:t>2</w:t>
      </w:r>
      <w:r w:rsidRPr="00C13637">
        <w:rPr>
          <w:highlight w:val="yellow"/>
        </w:rPr>
        <w:t xml:space="preserve"> and CO</w:t>
      </w:r>
      <w:r w:rsidRPr="00C13637">
        <w:rPr>
          <w:highlight w:val="yellow"/>
          <w:vertAlign w:val="subscript"/>
        </w:rPr>
        <w:t>2</w:t>
      </w:r>
      <w:r w:rsidRPr="00C13637">
        <w:rPr>
          <w:highlight w:val="yellow"/>
        </w:rPr>
        <w:t xml:space="preserve">. </w:t>
      </w:r>
      <w:r w:rsidR="00456C92">
        <w:t xml:space="preserve">This biomass </w:t>
      </w:r>
      <w:r w:rsidR="00D36711" w:rsidRPr="00D36711">
        <w:t xml:space="preserve">could then be used as a fertilizer with a low impact on the environment </w:t>
      </w:r>
      <w:r w:rsidR="00D36711" w:rsidRPr="00D36711">
        <w:fldChar w:fldCharType="begin"/>
      </w:r>
      <w:r w:rsidR="00D36711" w:rsidRPr="00D36711">
        <w:instrText xml:space="preserve"> ADDIN ZOTERO_ITEM CSL_CITATION {"citationID":"IHyGRZ3F","properties":{"formattedCitation":"(Chakraborty &amp; Akhtar, 2021; Rago et al., 2019; y. Hafeez et al., 2006)","plainCitation":"(Chakraborty &amp; Akhtar, 2021; Rago et al., 2019; y. Hafeez et al., 2006)","noteIndex":0},"citationItems":[{"id":640,"uris":["http://zotero.org/users/local/ahqjqVuV/items/ZJJTVA9J"],"itemData":{"id":640,"type":"chapter","abstract":"Biofertilizer, the microbial inoculant is an eco-friendly alternative to chemical fertilizer, protects lithosphere, improves biosphere by protecting air, water, soil pollution, and eutrophication and enhances yields of agriculture produce. It helps to enrich the soil with macro- and micro-nutrient and also by releasing plant growth regulators. The main nutrients required by plants are nitrogen, phosphorus, and potassium. The microbial inoculants of biofertilizers enhance plant growth and yields by secreting siderophores, antibiotics, enzymes, antifungal, and antibacterial substances and/or by releasing the hormones and overcoming disease and stress. Biofertilizers are classified as N-fixing, phosphate solubilizing, phosphate mobilizing, potassium solubilizing, potassium mobilizing, and sulfur oxidizing. The first commercial outbreak of biofertilizer is launch of “Nitragin” in 1895. For the preparation of biofertilizer, microbes need to be mass-cultivated, maintaining culture pH, temperature, and the cell count. To deliver and proper efficacy of biofertilizer, it requires a suitable carrier material. In future, focus should be made to create mutant and genetically engineered microbes as biofertilizer that has better response compared to wild type as a sustainable solution to agriculture.","container-title":"Biofertilizers","ISBN":"978-1-119-72499-5","language":"en","note":"section: 20\n_eprint: https://onlinelibrary.wiley.com/doi/pdf/10.1002/9781119724995.ch20\nDOI: 10.1002/9781119724995.ch20","page":"575-590","publisher":"John Wiley &amp; Sons, Ltd","source":"Wiley Online Library","title":"Biofertilizers: Prospects and Challenges for Future","title-short":"Biofertilizers","URL":"https://onlinelibrary.wiley.com/doi/abs/10.1002/9781119724995.ch20","author":[{"family":"Chakraborty","given":"Tanushree"},{"family":"Akhtar","given":"Nasim"}],"accessed":{"date-parts":[["2022",7,26]]},"issued":{"date-parts":[["2021"]]}}},{"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id":594,"uris":["http://zotero.org/users/local/ahqjqVuV/items/YSKUTR2A"],"itemData":{"id":594,"type":"article-journal","container-title":"Agronomy for Sustainable Development","issue":"2","note":"publisher: Springer Verlag/EDP Sciences/INRA","page":"143-150","source":"HAL Archives Ouvertes","title":"Plant growth-promoting bacteria as biofertilizer","volume":"26","author":[{"family":"Hafeez","given":"Fauzia","non-dropping-particle":"y."},{"family":"yasmin","given":"Sumera"},{"family":"Ariani","given":"Dini"},{"family":"Renseigné","given":"Non"},{"family":"Zafar","given":"yusuf"},{"family":"A. Malik","given":"Kauser"}],"issued":{"date-parts":[["2006"]]}}}],"schema":"https://github.com/citation-style-language/schema/raw/master/csl-citation.json"} </w:instrText>
      </w:r>
      <w:r w:rsidR="00D36711" w:rsidRPr="00D36711">
        <w:fldChar w:fldCharType="separate"/>
      </w:r>
      <w:r w:rsidR="00D36711" w:rsidRPr="00D36711">
        <w:t>(Chakraborty &amp; Akhtar, 2021; Rago et al., 2019; y. Hafeez et al., 2006)</w:t>
      </w:r>
      <w:r w:rsidR="00D36711" w:rsidRPr="00D36711">
        <w:fldChar w:fldCharType="end"/>
      </w:r>
      <w:r w:rsidR="00D36711" w:rsidRPr="00D36711">
        <w:t>.</w:t>
      </w:r>
      <w:r w:rsidR="000B0272">
        <w:t xml:space="preserve"> </w:t>
      </w:r>
      <w:r w:rsidR="00D36711" w:rsidRPr="00D36711">
        <w:t>Although the proof of concept was made for this process, the microbial interactions supporting N</w:t>
      </w:r>
      <w:r w:rsidR="00D36711" w:rsidRPr="00D36711">
        <w:rPr>
          <w:vertAlign w:val="subscript"/>
        </w:rPr>
        <w:t>2</w:t>
      </w:r>
      <w:r w:rsidR="00D36711" w:rsidRPr="00D36711">
        <w:t xml:space="preserve"> fixation in this microbial electrochemical systems are still poorly understood. Different N</w:t>
      </w:r>
      <w:r w:rsidR="00D36711" w:rsidRPr="00D36711">
        <w:rPr>
          <w:vertAlign w:val="subscript"/>
        </w:rPr>
        <w:t>2</w:t>
      </w:r>
      <w:r w:rsidR="00D36711" w:rsidRPr="00D36711">
        <w:t xml:space="preserve"> fixation scenarios are indeed possible, such as: (i) fixation by a single population capable of fixing N</w:t>
      </w:r>
      <w:r w:rsidR="00D36711" w:rsidRPr="00D36711">
        <w:rPr>
          <w:vertAlign w:val="subscript"/>
        </w:rPr>
        <w:t>2</w:t>
      </w:r>
      <w:r w:rsidR="00D36711" w:rsidRPr="00D36711">
        <w:t xml:space="preserve"> and CO</w:t>
      </w:r>
      <w:r w:rsidR="00D36711" w:rsidRPr="00D36711">
        <w:rPr>
          <w:vertAlign w:val="subscript"/>
        </w:rPr>
        <w:t>2</w:t>
      </w:r>
      <w:r w:rsidR="00D36711" w:rsidRPr="00D36711">
        <w:t xml:space="preserve"> using the electrode as sole </w:t>
      </w:r>
      <w:r w:rsidR="00D36711" w:rsidRPr="00C13637">
        <w:rPr>
          <w:highlight w:val="yellow"/>
        </w:rPr>
        <w:t>e</w:t>
      </w:r>
      <w:r w:rsidR="00A573BE" w:rsidRPr="00C13637">
        <w:rPr>
          <w:highlight w:val="yellow"/>
        </w:rPr>
        <w:t>lectron</w:t>
      </w:r>
      <w:r w:rsidR="00D36711" w:rsidRPr="00D36711">
        <w:t xml:space="preserve"> source, (ii) fixation by heterotrophic diazotrophic bacteria that can utilize the organic carbon produced by electro-autotrophic bacteria, (iii) fixation through an interaction between methanogenic archaea and methanotrophs that could use CH</w:t>
      </w:r>
      <w:r w:rsidR="00D36711" w:rsidRPr="00D36711">
        <w:rPr>
          <w:vertAlign w:val="subscript"/>
        </w:rPr>
        <w:t>4</w:t>
      </w:r>
      <w:r w:rsidR="00D36711" w:rsidRPr="00D36711">
        <w:t xml:space="preserve"> as an energy source for N</w:t>
      </w:r>
      <w:r w:rsidR="00D36711" w:rsidRPr="00D36711">
        <w:rPr>
          <w:vertAlign w:val="subscript"/>
        </w:rPr>
        <w:t>2</w:t>
      </w:r>
      <w:r w:rsidR="00D36711" w:rsidRPr="00D36711">
        <w:t xml:space="preserve"> fixation and (iv) fixation through an interaction mediated by direct interspecies electron transfer (DIET) between electro-autotrophic bacteria and diazotrophic bacteria </w:t>
      </w:r>
      <w:r w:rsidR="00D36711" w:rsidRPr="00D36711">
        <w:fldChar w:fldCharType="begin"/>
      </w:r>
      <w:r w:rsidR="00D36711" w:rsidRPr="00D36711">
        <w:instrText xml:space="preserve"> ADDIN ZOTERO_ITEM CSL_CITATION {"citationID":"ehPZyzW7","properties":{"formattedCitation":"(Rago et al., 2019)","plainCitation":"(Rago et al., 2019)","noteIndex":0},"citationItems":[{"id":3,"uris":["http://zotero.org/users/local/ahqjqVuV/items/9WMCQQZA"],"itemData":{"id":3,"type":"article-journal","abstract":"A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D36711" w:rsidRPr="00D36711">
        <w:fldChar w:fldCharType="separate"/>
      </w:r>
      <w:r w:rsidR="00D36711" w:rsidRPr="00D36711">
        <w:t>(Rago et al., 2019)</w:t>
      </w:r>
      <w:r w:rsidR="00D36711" w:rsidRPr="00D36711">
        <w:fldChar w:fldCharType="end"/>
      </w:r>
      <w:r w:rsidR="00D36711" w:rsidRPr="00D36711">
        <w:t>. A better understanding of these interactions is essential to optimize N</w:t>
      </w:r>
      <w:r w:rsidR="00D36711" w:rsidRPr="00D36711">
        <w:rPr>
          <w:vertAlign w:val="subscript"/>
        </w:rPr>
        <w:t>2</w:t>
      </w:r>
      <w:r w:rsidR="00D36711" w:rsidRPr="00D36711">
        <w:t xml:space="preserve"> fixation in microbial electrochemical system.</w:t>
      </w:r>
    </w:p>
    <w:p w14:paraId="2634A116" w14:textId="2028A399" w:rsidR="00D36711" w:rsidRPr="00D36711" w:rsidRDefault="00D36711" w:rsidP="00456C92">
      <w:pPr>
        <w:pStyle w:val="PCJtext"/>
      </w:pPr>
      <w:r w:rsidRPr="00D36711">
        <w:t>In nature, biological N</w:t>
      </w:r>
      <w:r w:rsidRPr="00D36711">
        <w:rPr>
          <w:vertAlign w:val="subscript"/>
        </w:rPr>
        <w:t xml:space="preserve">2 </w:t>
      </w:r>
      <w:r w:rsidRPr="00D36711">
        <w:t xml:space="preserve">fixation is a key mechanism of the nitrogen cycle where atmospheric nitrogen is uptaken by living organisms </w:t>
      </w:r>
      <w:r w:rsidRPr="00D36711">
        <w:fldChar w:fldCharType="begin"/>
      </w:r>
      <w:r w:rsidRPr="00D36711">
        <w:instrText xml:space="preserve"> ADDIN ZOTERO_ITEM CSL_CITATION {"citationID":"lTXKTqO1","properties":{"formattedCitation":"(Bagali, 2012)","plainCitation":"(Bagali, 2012)","noteIndex":0},"citationItems":[{"id":315,"uris":["http://zotero.org/users/local/ahqjqVuV/items/3WW6VRHB"],"itemData":{"id":315,"type":"article-journal","abstract":"Microorganisms employed to enhance the availability of nutrients, viz., nitrogen (by fixing atmosphere N ), to the crops are called biofertilizers. In recent years, biofertilizers 2 have emerged as an important component for biological nitrogen fixation. It offers an economically attractive and ecologically sound route for ugmenting nutrient supply. Plant growth promoting species are commonly used to improve crop yield. In\naddition to their agricultural usefulness, there are potential benefits in environmental applications. Thus various species of Rhizobium for legumes, blue - green algae (BGA) or cynaobacteria and Azolla (a fern containing symbiotic N2 - fixing BGA, i.e., Azolla Anabaena Azollae) for wet land rice and Azotobacter / Azospirillum for several crops can play significant role in agriculture.","container-title":"Int. J. Microbiol. Res.","DOI":"10.5829/idosi.ijmr.2012.3.1.61103","journalAbbreviation":"Int. J. Microbiol. Res.","page":"46-52","source":"ResearchGate","title":"Review: nitrogen fixing microorganisms","title-short":"Review","volume":"3","author":[{"family":"Bagali","given":"Shridhar"}],"issued":{"date-parts":[["2012",1,1]]}}}],"schema":"https://github.com/citation-style-language/schema/raw/master/csl-citation.json"} </w:instrText>
      </w:r>
      <w:r w:rsidRPr="00D36711">
        <w:fldChar w:fldCharType="separate"/>
      </w:r>
      <w:r w:rsidRPr="00D36711">
        <w:t>(Bagali, 2012)</w:t>
      </w:r>
      <w:r w:rsidRPr="00D36711">
        <w:fldChar w:fldCharType="end"/>
      </w:r>
      <w:r w:rsidRPr="00D36711">
        <w:t>. It is carried out by so-called diazotrophic bacteria responsible for the transformation of N</w:t>
      </w:r>
      <w:r w:rsidRPr="00D36711">
        <w:rPr>
          <w:vertAlign w:val="subscript"/>
        </w:rPr>
        <w:t>2</w:t>
      </w:r>
      <w:r w:rsidRPr="00D36711">
        <w:t xml:space="preserve"> into NH</w:t>
      </w:r>
      <w:r w:rsidRPr="00D36711">
        <w:rPr>
          <w:vertAlign w:val="subscript"/>
        </w:rPr>
        <w:t>3</w:t>
      </w:r>
      <w:r w:rsidRPr="00D36711">
        <w:t xml:space="preserve"> </w:t>
      </w:r>
      <w:r w:rsidRPr="00D36711">
        <w:fldChar w:fldCharType="begin"/>
      </w:r>
      <w:r w:rsidRPr="00D36711">
        <w:instrText xml:space="preserve"> ADDIN ZOTERO_ITEM CSL_CITATION {"citationID":"n4jVndwB","properties":{"formattedCitation":"(Kim &amp; Rees, 1994)","plainCitation":"(Kim &amp; Rees, 1994)","noteIndex":0},"citationItems":[{"id":106,"uris":["http://zotero.org/users/local/ahqjqVuV/items/JUG2R47S"],"itemData":{"id":106,"type":"article-journal","container-title":"Biochemistry","DOI":"10.1021/bi00168a001","ISSN":"0006-2960","issue":"2","journalAbbreviation":"Biochemistry","note":"number: 2\npublisher: American Chemical Society","page":"389-397","source":"ACS Publications","title":"Nitrogenase and biological nitrogen fixation","volume":"33","author":[{"family":"Kim","given":"Jongsun"},{"family":"Rees","given":"Douglas C."}],"issued":{"date-parts":[["1994",1,18]]}}}],"schema":"https://github.com/citation-style-language/schema/raw/master/csl-citation.json"} </w:instrText>
      </w:r>
      <w:r w:rsidRPr="00D36711">
        <w:fldChar w:fldCharType="separate"/>
      </w:r>
      <w:r w:rsidRPr="00D36711">
        <w:t>(Kim &amp; Rees, 1994)</w:t>
      </w:r>
      <w:r w:rsidRPr="00D36711">
        <w:fldChar w:fldCharType="end"/>
      </w:r>
      <w:r w:rsidRPr="00D36711">
        <w:t xml:space="preserve">. Some of these bacteria can be found on the roots of plants where they are living in symbiosis </w:t>
      </w:r>
      <w:r w:rsidRPr="00D36711">
        <w:fldChar w:fldCharType="begin"/>
      </w:r>
      <w:r w:rsidRPr="00D36711">
        <w:instrText xml:space="preserve"> ADDIN ZOTERO_ITEM CSL_CITATION {"citationID":"kP3fNpqh","properties":{"formattedCitation":"(Burris &amp; Roberts, 1993; Franche et al., 2009)","plainCitation":"(Burris &amp; Roberts, 1993; Franche et al., 2009)","noteIndex":0},"citationItems":[{"id":163,"uris":["http://zotero.org/users/local/ahqjqVuV/items/DPISKMUB"],"itemData":{"id":163,"type":"article-journal","container-title":"Annual Review of Nutrition","DOI":"10.1146/annurev.nu.13.070193.001533","issue":"1","note":"number: 1\n_eprint: https://doi.org/10.1146/annurev.nu.13.070193.001533\nPMID: 8369149","page":"317-335","source":"Annual Reviews","title":"Biological Nitrogen Fixation","volume":"13","author":[{"family":"Burris","given":"Robert H."},{"family":"Roberts","given":"Gary P."}],"issued":{"date-parts":[["1993"]]}}},{"id":731,"uris":["http://zotero.org/users/local/ahqjqVuV/items/U44SU7I8"],"itemData":{"id":731,"type":"article-journal","abstract":"Nitrogen is generally considered one of the major limiting nutrients in plant growth. The biological process responsible for reduction of molecular nitrogen into ammonia is referred to as nitrogen fixation. A wide diversity of nitrogen-fixing bacterial species belonging to most phyla of the Bacteria domain have the capacity to colonize the rhizosphere and to interact with plants. Leguminous and actinorhizal plants can obtain their nitrogen by association with rhizobia or Frankia via differentiation on their respective host plants of a specialized organ, the root nodule. Other symbiotic associations involve heterocystous cyanobacteria, while increasing numbers of nitrogen-fixing species have been identified as colonizing the root surface and, in some cases, the root interior of a variety of cereal crops and pasture grasses. Basic and advanced aspects of these associations are covered in this review.","container-title":"Plant and Soil","DOI":"10.1007/s11104-008-9833-8","ISSN":"1573-5036","issue":"1","journalAbbreviation":"Plant Soil","language":"en","page":"35-59","source":"Springer Link","title":"Nitrogen-fixing bacteria associated with leguminous and non-leguminous plants","volume":"321","author":[{"family":"Franche","given":"Claudine"},{"family":"Lindström","given":"Kristina"},{"family":"Elmerich","given":"Claudine"}],"issued":{"date-parts":[["2009",8,1]]}}}],"schema":"https://github.com/citation-style-language/schema/raw/master/csl-citation.json"} </w:instrText>
      </w:r>
      <w:r w:rsidRPr="00D36711">
        <w:fldChar w:fldCharType="separate"/>
      </w:r>
      <w:r w:rsidRPr="00D36711">
        <w:t>(Burris &amp; Roberts, 1993; Franche et al., 2009)</w:t>
      </w:r>
      <w:r w:rsidRPr="00D36711">
        <w:fldChar w:fldCharType="end"/>
      </w:r>
      <w:r w:rsidRPr="00D36711">
        <w:t>. These microorganisms are able to fix N</w:t>
      </w:r>
      <w:r w:rsidRPr="00D36711">
        <w:rPr>
          <w:vertAlign w:val="subscript"/>
        </w:rPr>
        <w:t>2</w:t>
      </w:r>
      <w:r w:rsidRPr="00D36711">
        <w:t xml:space="preserve"> from the air, making it assimilable in the form of NH</w:t>
      </w:r>
      <w:r w:rsidRPr="00D36711">
        <w:rPr>
          <w:vertAlign w:val="subscript"/>
        </w:rPr>
        <w:t>4</w:t>
      </w:r>
      <w:r w:rsidRPr="00D36711">
        <w:rPr>
          <w:vertAlign w:val="superscript"/>
        </w:rPr>
        <w:t>+</w:t>
      </w:r>
      <w:r w:rsidRPr="00D36711">
        <w:t xml:space="preserve"> or amino acids (L-glutamine, L-glutamate) which are further used in plants for protein or DNA synthesis </w:t>
      </w:r>
      <w:r w:rsidRPr="00D36711">
        <w:fldChar w:fldCharType="begin"/>
      </w:r>
      <w:r w:rsidRPr="00D36711">
        <w:instrText xml:space="preserve"> ADDIN ZOTERO_ITEM CSL_CITATION {"citationID":"lYodDKlf","properties":{"formattedCitation":"(Burris &amp; Roberts, 1993)","plainCitation":"(Burris &amp; Roberts, 1993)","noteIndex":0},"citationItems":[{"id":163,"uris":["http://zotero.org/users/local/ahqjqVuV/items/DPISKMUB"],"itemData":{"id":163,"type":"article-journal","container-title":"Annual Review of Nutrition","DOI":"10.1146/annurev.nu.13.070193.001533","issue":"1","note":"number: 1\n_eprint: https://doi.org/10.1146/annurev.nu.13.070193.001533\nPMID: 8369149","page":"317-335","source":"Annual Reviews","title":"Biological Nitrogen Fixation","volume":"13","author":[{"family":"Burris","given":"Robert H."},{"family":"Roberts","given":"Gary P."}],"issued":{"date-parts":[["1993"]]}}}],"schema":"https://github.com/citation-style-language/schema/raw/master/csl-citation.json"} </w:instrText>
      </w:r>
      <w:r w:rsidRPr="00D36711">
        <w:fldChar w:fldCharType="separate"/>
      </w:r>
      <w:r w:rsidRPr="00D36711">
        <w:t>(Burris &amp; Roberts, 1993)</w:t>
      </w:r>
      <w:r w:rsidRPr="00D36711">
        <w:fldChar w:fldCharType="end"/>
      </w:r>
      <w:r w:rsidRPr="00D36711">
        <w:t xml:space="preserve">. In exchange, the bacteria use the organic matter of root exudates produced by the plants as carbon and energy sources. Among the diazotrophic bacteria, the genera </w:t>
      </w:r>
      <w:r w:rsidRPr="00D36711">
        <w:rPr>
          <w:i/>
        </w:rPr>
        <w:t>Frankia</w:t>
      </w:r>
      <w:r w:rsidRPr="00D36711">
        <w:t xml:space="preserve"> and </w:t>
      </w:r>
      <w:r w:rsidRPr="00D36711">
        <w:rPr>
          <w:i/>
        </w:rPr>
        <w:t>Rhizobium spp</w:t>
      </w:r>
      <w:r w:rsidRPr="00D36711">
        <w:t xml:space="preserve">. are often </w:t>
      </w:r>
      <w:r w:rsidRPr="00D36711">
        <w:lastRenderedPageBreak/>
        <w:t xml:space="preserve">associated with leguminous plant roots </w:t>
      </w:r>
      <w:r w:rsidRPr="00D36711">
        <w:rPr>
          <w:i/>
        </w:rPr>
        <w:fldChar w:fldCharType="begin"/>
      </w:r>
      <w:r w:rsidRPr="00D36711">
        <w:rPr>
          <w:i/>
        </w:rPr>
        <w:instrText xml:space="preserve"> ADDIN ZOTERO_ITEM CSL_CITATION {"citationID":"KYWNXZWY","properties":{"formattedCitation":"(Burris &amp; Roberts, 1993; Peoples &amp; Craswell, 1992)","plainCitation":"(Burris &amp; Roberts, 1993; Peoples &amp; Craswell, 1992)","noteIndex":0},"citationItems":[{"id":163,"uris":["http://zotero.org/users/local/ahqjqVuV/items/DPISKMUB"],"itemData":{"id":163,"type":"article-journal","container-title":"Annual Review of Nutrition","DOI":"10.1146/annurev.nu.13.070193.001533","issue":"1","note":"number: 1\n_eprint: https://doi.org/10.1146/annurev.nu.13.070193.001533\nPMID: 8369149","page":"317-335","source":"Annual Reviews","title":"Biological Nitrogen Fixation","volume":"13","author":[{"family":"Burris","given":"Robert H."},{"family":"Roberts","given":"Gary P."}],"issued":{"date-parts":[["1993"]]}}},{"id":740,"uris":["http://zotero.org/users/local/ahqjqVuV/items/396SIK4W"],"itemData":{"id":740,"type":"article-journal","abstract":"Inputs of biologically fixed N into agricultural systems may be derived from symbiotic relationships involving legumes and Rhizobium spp., partnerships between plants and Frankia spp. or cyanobacteria, or from non-symbiotic associations between free-living diazotrophs and plant roots. It is assumed that these N2-fixing systems will satisfy a large portion of their own N requirements from atmospheric N2, and that additional fixed N will be contributed to soil reserves for the benefit of other crops or forage species. This paper reviews the actual levels of N2 fixation attained by legume and non-legume associations and assesses their role as a source of N in tropical and sub-tropical agriculture. We discuss factors influencing N2 fixation and identify possible strategies for improving the amount of N2 fixed.","container-title":"Plant and Soil","DOI":"10.1007/BF00011308","ISSN":"1573-5036","issue":"1","journalAbbreviation":"Plant Soil","language":"en","page":"13-39","source":"Springer Link","title":"Biological nitrogen fixation: Investments, expectations and actual contributions to agriculture","title-short":"Biological nitrogen fixation","volume":"141","author":[{"family":"Peoples","given":"Mark B."},{"family":"Craswell","given":"Eric T."}],"issued":{"date-parts":[["1992",3,1]]}}}],"schema":"https://github.com/citation-style-language/schema/raw/master/csl-citation.json"} </w:instrText>
      </w:r>
      <w:r w:rsidRPr="00D36711">
        <w:rPr>
          <w:i/>
        </w:rPr>
        <w:fldChar w:fldCharType="separate"/>
      </w:r>
      <w:r w:rsidRPr="00D36711">
        <w:t>(Burris &amp; Roberts, 1993; Peoples &amp; Craswell, 1992)</w:t>
      </w:r>
      <w:r w:rsidRPr="00D36711">
        <w:fldChar w:fldCharType="end"/>
      </w:r>
      <w:r w:rsidRPr="00D36711">
        <w:t xml:space="preserve">. </w:t>
      </w:r>
      <w:r w:rsidRPr="00456C92">
        <w:rPr>
          <w:highlight w:val="yellow"/>
        </w:rPr>
        <w:t>In contrast, other free-living N</w:t>
      </w:r>
      <w:r w:rsidRPr="00456C92">
        <w:rPr>
          <w:highlight w:val="yellow"/>
          <w:vertAlign w:val="subscript"/>
        </w:rPr>
        <w:t>2</w:t>
      </w:r>
      <w:r w:rsidRPr="00456C92">
        <w:rPr>
          <w:highlight w:val="yellow"/>
        </w:rPr>
        <w:t xml:space="preserve">-fixing bacteria such as </w:t>
      </w:r>
      <w:r w:rsidRPr="00456C92">
        <w:rPr>
          <w:i/>
          <w:highlight w:val="yellow"/>
        </w:rPr>
        <w:t>Azospirillum</w:t>
      </w:r>
      <w:r w:rsidRPr="00456C92">
        <w:rPr>
          <w:highlight w:val="yellow"/>
        </w:rPr>
        <w:t>, are able to fix N</w:t>
      </w:r>
      <w:r w:rsidRPr="00456C92">
        <w:rPr>
          <w:highlight w:val="yellow"/>
          <w:vertAlign w:val="subscript"/>
        </w:rPr>
        <w:t>2</w:t>
      </w:r>
      <w:r w:rsidRPr="00456C92">
        <w:rPr>
          <w:highlight w:val="yellow"/>
        </w:rPr>
        <w:t xml:space="preserve"> </w:t>
      </w:r>
      <w:r w:rsidR="00046659" w:rsidRPr="00456C92">
        <w:rPr>
          <w:highlight w:val="yellow"/>
        </w:rPr>
        <w:t xml:space="preserve">with or </w:t>
      </w:r>
      <w:r w:rsidRPr="00456C92">
        <w:rPr>
          <w:highlight w:val="yellow"/>
        </w:rPr>
        <w:t xml:space="preserve">without interacting with plants and can use organic or inorganic materials to produce their own energy </w:t>
      </w:r>
      <w:r w:rsidRPr="00456C92">
        <w:rPr>
          <w:highlight w:val="yellow"/>
        </w:rPr>
        <w:fldChar w:fldCharType="begin"/>
      </w:r>
      <w:r w:rsidRPr="00456C92">
        <w:rPr>
          <w:highlight w:val="yellow"/>
        </w:rPr>
        <w:instrText xml:space="preserve"> ADDIN ZOTERO_ITEM CSL_CITATION {"citationID":"KFTdXdRh","properties":{"formattedCitation":"(Tilak et al., 1986)","plainCitation":"(Tilak et al., 1986)","noteIndex":0},"citationItems":[{"id":726,"uris":["http://zotero.org/users/local/ahqjqVuV/items/JL85I7DU"],"itemData":{"id":726,"type":"article-journal","abstract":"Out of 15 strains ofAzospirillum spp. isolated from the roots of different plants, only 4 (CY, M, CC, and AM) were able to grow autotrophically with H2 and CO2. All of them showed H2 uptake in the presence of oxygen or methylene blue and ribulose-1,5-bisphosphate carboxylase activity. Among the four strains, strain CC isolated from the roots ofCenchrus cilliaris showed maximum H2+O2 uptake (32.5 μl/min. mg protein) as well as H2 uptake in the presence of methylene blue (41.4 μl/min·mg protein) and also the maximum activity of ribulose-1,5-bisphosphate carboxylase (17 units [U]/g protein). The doubling time of this strain under autotrophic growth conditions and at low oxygen concentration (2.5%, vol/vol) was 10 h. At the same O2 concentration the maximal rates of H2+O2 uptake were reached. The distribution of hydrogenase activity among soluble and particulate protein fractions revealed that the hydrogenase ofAzospirillum strain CC is a membrane-bound enzyme. It showed cross-reaction with antibodies raised against the membrane-bound hydrogenase ofAlcaligenes eutrophus. The hydrogenase in intact cells and crude extracts reacted with methylene blue, phenazine methosulfate, and ferricyanide, but not with NAD or FMN. The specific hydrogenase activity, with methylene blue as an acceptor, was 5.71 U/mg protein in crude extract at 9.38 U/mg protein in the membrane suspension. Hydrogen evolution from reduced viologen dyes could not be demonstrated. The hydrogenase is oxygen sensitive and can be optimally stabilized by addition of dithionite to H2-gased samples.","container-title":"Current Microbiology","DOI":"10.1007/BF01577194","ISSN":"1432-0991","issue":"6","journalAbbreviation":"Current Microbiology","language":"en","page":"291-297","source":"Springer Link","title":"Autotrophic growth of nitrogen-fixingAzospirillum species and partial characterization of hydrogenase from strain CC","volume":"13","author":[{"family":"Tilak","given":"Kolluru V. B. R."},{"family":"Schneider","given":"Klaus"},{"family":"Schlegel","given":"Hans G."}],"issued":{"date-parts":[["1986",11,1]]}}}],"schema":"https://github.com/citation-style-language/schema/raw/master/csl-citation.json"} </w:instrText>
      </w:r>
      <w:r w:rsidRPr="00456C92">
        <w:rPr>
          <w:highlight w:val="yellow"/>
        </w:rPr>
        <w:fldChar w:fldCharType="separate"/>
      </w:r>
      <w:r w:rsidRPr="00456C92">
        <w:rPr>
          <w:highlight w:val="yellow"/>
        </w:rPr>
        <w:t>(Tilak et al., 1986)</w:t>
      </w:r>
      <w:r w:rsidRPr="00456C92">
        <w:rPr>
          <w:highlight w:val="yellow"/>
        </w:rPr>
        <w:fldChar w:fldCharType="end"/>
      </w:r>
      <w:r w:rsidRPr="00D36711">
        <w:t>.</w:t>
      </w:r>
      <w:r w:rsidR="00203FEC" w:rsidRPr="00D36711" w:rsidDel="00203FEC">
        <w:t xml:space="preserve"> </w:t>
      </w:r>
    </w:p>
    <w:p w14:paraId="4C148755" w14:textId="0EDAEAF5" w:rsidR="008263E4" w:rsidRPr="00636C63" w:rsidRDefault="006B19F5" w:rsidP="00D36711">
      <w:pPr>
        <w:pStyle w:val="PCJtext"/>
      </w:pPr>
      <w:r w:rsidRPr="00C13637">
        <w:rPr>
          <w:highlight w:val="yellow"/>
        </w:rPr>
        <w:t>In order to better understand the microbial mechanisms supporting N</w:t>
      </w:r>
      <w:r w:rsidRPr="00C13637">
        <w:rPr>
          <w:highlight w:val="yellow"/>
          <w:vertAlign w:val="subscript"/>
        </w:rPr>
        <w:t>2</w:t>
      </w:r>
      <w:r w:rsidRPr="00C13637">
        <w:rPr>
          <w:highlight w:val="yellow"/>
        </w:rPr>
        <w:t xml:space="preserve"> fixation in polarized cathode enrichment and produce biomass, this work aims at developing an enrichment method of cathodic biofilms for direct fixation of CO</w:t>
      </w:r>
      <w:r w:rsidRPr="00C13637">
        <w:rPr>
          <w:highlight w:val="yellow"/>
          <w:vertAlign w:val="subscript"/>
        </w:rPr>
        <w:t>2</w:t>
      </w:r>
      <w:r w:rsidRPr="00C13637">
        <w:rPr>
          <w:highlight w:val="yellow"/>
        </w:rPr>
        <w:t xml:space="preserve"> and N</w:t>
      </w:r>
      <w:r w:rsidRPr="00C13637">
        <w:rPr>
          <w:highlight w:val="yellow"/>
          <w:vertAlign w:val="subscript"/>
        </w:rPr>
        <w:t>2</w:t>
      </w:r>
      <w:r w:rsidRPr="00C13637">
        <w:rPr>
          <w:highlight w:val="yellow"/>
        </w:rPr>
        <w:t xml:space="preserve">. Rago et al. </w:t>
      </w:r>
      <w:r w:rsidRPr="00C13637">
        <w:rPr>
          <w:highlight w:val="yellow"/>
        </w:rPr>
        <w:fldChar w:fldCharType="begin"/>
      </w:r>
      <w:r w:rsidR="00C10BAA">
        <w:rPr>
          <w:highlight w:val="yellow"/>
        </w:rPr>
        <w:instrText xml:space="preserve"> ADDIN ZOTERO_ITEM CSL_CITATION {"citationID":"RizxKoKk","properties":{"formattedCitation":"(Rago et al., 2019)","plainCitation":"(Rago et al., 2019)","dontUpdate":true,"noteIndex":0},"citationItems":[{"id":3,"uris":["http://zotero.org/users/local/ahqjqVuV/items/9WMCQQZA"],"itemData":{"id":3,"type":"article-journal","abstract":"A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C13637">
        <w:rPr>
          <w:highlight w:val="yellow"/>
        </w:rPr>
        <w:fldChar w:fldCharType="separate"/>
      </w:r>
      <w:r w:rsidRPr="00C13637">
        <w:rPr>
          <w:highlight w:val="yellow"/>
        </w:rPr>
        <w:t>( 2019)</w:t>
      </w:r>
      <w:r w:rsidRPr="00C13637">
        <w:rPr>
          <w:highlight w:val="yellow"/>
        </w:rPr>
        <w:fldChar w:fldCharType="end"/>
      </w:r>
      <w:r w:rsidRPr="00C13637">
        <w:rPr>
          <w:highlight w:val="yellow"/>
        </w:rPr>
        <w:t xml:space="preserve"> demonstrated the capacity of producing biomass from air, CO</w:t>
      </w:r>
      <w:r w:rsidRPr="00C13637">
        <w:rPr>
          <w:highlight w:val="yellow"/>
          <w:vertAlign w:val="subscript"/>
        </w:rPr>
        <w:t>2</w:t>
      </w:r>
      <w:r w:rsidRPr="00C13637">
        <w:rPr>
          <w:highlight w:val="yellow"/>
        </w:rPr>
        <w:t xml:space="preserve"> and a solid electrode polarized negatively</w:t>
      </w:r>
      <w:r w:rsidR="00402127">
        <w:rPr>
          <w:highlight w:val="yellow"/>
        </w:rPr>
        <w:t xml:space="preserve"> </w:t>
      </w:r>
      <w:r w:rsidR="00402127">
        <w:rPr>
          <w:highlight w:val="yellow"/>
        </w:rPr>
        <w:fldChar w:fldCharType="begin"/>
      </w:r>
      <w:r w:rsidR="00402127">
        <w:rPr>
          <w:highlight w:val="yellow"/>
        </w:rPr>
        <w:instrText xml:space="preserve"> ADDIN ZOTERO_ITEM CSL_CITATION {"citationID":"ALKvBuG4","properties":{"formattedCitation":"(Rago et al., 2019)","plainCitation":"(Rago et al., 2019)","noteIndex":0},"citationItems":[{"id":3,"uris":["http://zotero.org/users/local/ahqjqVuV/items/9WMCQQZA"],"itemData":{"id":3,"type":"article-journal","abstract":"A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402127">
        <w:rPr>
          <w:highlight w:val="yellow"/>
        </w:rPr>
        <w:fldChar w:fldCharType="separate"/>
      </w:r>
      <w:r w:rsidR="00402127" w:rsidRPr="00402127">
        <w:rPr>
          <w:rFonts w:ascii="Calibri" w:hAnsi="Calibri" w:cs="Calibri"/>
          <w:highlight w:val="yellow"/>
        </w:rPr>
        <w:t>(Rago et al., 2019)</w:t>
      </w:r>
      <w:r w:rsidR="00402127">
        <w:rPr>
          <w:highlight w:val="yellow"/>
        </w:rPr>
        <w:fldChar w:fldCharType="end"/>
      </w:r>
      <w:r w:rsidRPr="00C13637">
        <w:rPr>
          <w:highlight w:val="yellow"/>
        </w:rPr>
        <w:t>. Here a specific enrichment of microorganisms capable of N</w:t>
      </w:r>
      <w:r w:rsidRPr="00C13637">
        <w:rPr>
          <w:highlight w:val="yellow"/>
          <w:vertAlign w:val="subscript"/>
        </w:rPr>
        <w:t>2</w:t>
      </w:r>
      <w:r w:rsidRPr="00C13637">
        <w:rPr>
          <w:highlight w:val="yellow"/>
        </w:rPr>
        <w:t xml:space="preserve"> fixation was developed. It was hypothesized that a multi-step enrichment with specific medium could select a microbial community able to fix N</w:t>
      </w:r>
      <w:r w:rsidRPr="00C13637">
        <w:rPr>
          <w:highlight w:val="yellow"/>
          <w:vertAlign w:val="subscript"/>
        </w:rPr>
        <w:t>2</w:t>
      </w:r>
      <w:r w:rsidRPr="00C13637">
        <w:rPr>
          <w:highlight w:val="yellow"/>
        </w:rPr>
        <w:t xml:space="preserve"> and CO</w:t>
      </w:r>
      <w:r w:rsidRPr="00C13637">
        <w:rPr>
          <w:highlight w:val="yellow"/>
          <w:vertAlign w:val="subscript"/>
        </w:rPr>
        <w:t>2</w:t>
      </w:r>
      <w:r w:rsidRPr="00C13637">
        <w:rPr>
          <w:highlight w:val="yellow"/>
        </w:rPr>
        <w:t xml:space="preserve"> supported by electrons brought by a cathode. It was assumed that these communities enriched by this procedure could use a large number of interactions leading to N</w:t>
      </w:r>
      <w:r w:rsidRPr="00C13637">
        <w:rPr>
          <w:highlight w:val="yellow"/>
          <w:vertAlign w:val="subscript"/>
        </w:rPr>
        <w:t>2</w:t>
      </w:r>
      <w:r w:rsidRPr="00C13637">
        <w:rPr>
          <w:highlight w:val="yellow"/>
        </w:rPr>
        <w:t xml:space="preserve"> fixation and biomass growth. For that, it was assumed that the enrichment in autotrophic diazotrophic bacteria in the presence of a cathode with pre-enrichment steps in presence of several electron donors (organic C and cathode) would be more efficient than enrichment cultures of hydrogenotrophic and diazotrophic bacteria.</w:t>
      </w:r>
      <w:r>
        <w:rPr>
          <w:i/>
          <w:sz w:val="22"/>
          <w:szCs w:val="22"/>
          <w:highlight w:val="yellow"/>
        </w:rPr>
        <w:t xml:space="preserve"> </w:t>
      </w:r>
      <w:r w:rsidR="00D36711" w:rsidRPr="00D36711">
        <w:t>For this, soil samples were used as sources of N</w:t>
      </w:r>
      <w:r w:rsidR="00D36711" w:rsidRPr="00D36711">
        <w:rPr>
          <w:vertAlign w:val="subscript"/>
        </w:rPr>
        <w:t>2</w:t>
      </w:r>
      <w:r w:rsidR="00D36711" w:rsidRPr="00D36711">
        <w:t>-fixing bacteria, and successive enrichments in autotrophic bacteria in polarized cathode enrichment (PCE) were performed to select a electroactive biofilm capable of fixing N</w:t>
      </w:r>
      <w:r w:rsidR="00810D70">
        <w:rPr>
          <w:vertAlign w:val="subscript"/>
        </w:rPr>
        <w:t>2</w:t>
      </w:r>
      <w:r w:rsidR="00D36711" w:rsidRPr="00D36711">
        <w:t xml:space="preserve"> and C</w:t>
      </w:r>
      <w:r w:rsidR="00810D70">
        <w:t>O</w:t>
      </w:r>
      <w:r w:rsidR="00810D70">
        <w:rPr>
          <w:vertAlign w:val="subscript"/>
        </w:rPr>
        <w:t>2</w:t>
      </w:r>
      <w:r w:rsidR="00D36711" w:rsidRPr="00D36711">
        <w:t xml:space="preserve"> with a cathode as sole </w:t>
      </w:r>
      <w:r w:rsidR="00D36711" w:rsidRPr="00C13637">
        <w:rPr>
          <w:highlight w:val="yellow"/>
        </w:rPr>
        <w:t>e</w:t>
      </w:r>
      <w:r w:rsidR="00A53A4D" w:rsidRPr="00C13637">
        <w:rPr>
          <w:highlight w:val="yellow"/>
        </w:rPr>
        <w:t>lectron</w:t>
      </w:r>
      <w:r w:rsidR="00D36711" w:rsidRPr="00D36711">
        <w:t xml:space="preserve"> source. The enriched biofilm was compared with a classical enrichment of N</w:t>
      </w:r>
      <w:r w:rsidR="00D36711" w:rsidRPr="00D36711">
        <w:rPr>
          <w:vertAlign w:val="subscript"/>
        </w:rPr>
        <w:t>2</w:t>
      </w:r>
      <w:r w:rsidR="00D36711" w:rsidRPr="00D36711">
        <w:t>-fixing hydrogen-oxidizing bacteria (HOB) in flasks (named H</w:t>
      </w:r>
      <w:r w:rsidR="00D36711" w:rsidRPr="00D36711">
        <w:rPr>
          <w:vertAlign w:val="subscript"/>
        </w:rPr>
        <w:t>2</w:t>
      </w:r>
      <w:r w:rsidR="00D36711" w:rsidRPr="00D36711">
        <w:t xml:space="preserve"> enrichment, H</w:t>
      </w:r>
      <w:r w:rsidR="00D36711" w:rsidRPr="00D36711">
        <w:rPr>
          <w:vertAlign w:val="subscript"/>
        </w:rPr>
        <w:t>2</w:t>
      </w:r>
      <w:r w:rsidR="00D36711" w:rsidRPr="00D36711">
        <w:t xml:space="preserve">E) </w:t>
      </w:r>
      <w:r w:rsidR="00D36711" w:rsidRPr="00D36711">
        <w:fldChar w:fldCharType="begin"/>
      </w:r>
      <w:r w:rsidR="00D36711" w:rsidRPr="00D36711">
        <w:instrText xml:space="preserve"> ADDIN ZOTERO_ITEM CSL_CITATION {"citationID":"w0TA6Pzx","properties":{"formattedCitation":"(X. Hu et al., 2020; C. Liu et al., 2017)","plainCitation":"(X. Hu et al., 2020; C. Liu et al., 2017)","noteIndex":0},"citationItems":[{"id":179,"uris":["http://zotero.org/users/local/ahqjqVuV/items/QIQSEIW4"],"itemData":{"id":179,"type":"article-journal","abstract":"For the production of edible microbial protein (MP), ammonia generated by the Haber-Bosch process or reclaimed ammonia from waste streams is typically considered as the nitrogen source. These processes for ammonia production are highly energy intensive. In this study, the potential for using nitrogen gas (N2) as a direct nitrogen source for MP production by hydrogen-oxidizing bacteria (HOB) was evaluated. The use of N2 versus ammonium as nitrogen source during the enrichment process resulted in differentiation of the bacterial community composition of the enrichments. A few previously unknown potential N2-fixing HOB taxa (i.e., representatives of the genus Azonexus and the family Comamonadaceae) dominated the enrichments. The biomass yield of a N2-fixing HOB enrichment was 30-50% lower than that of the ammonium-based HOB enrichment from the same inoculum source. The dried biomass of N2-fixing HOB had a high protein content (62.0 ± 6.3%) and an essential amino acid profile comparable to MP from ammonium-based HOB. MP from N2-fixing HOB could potentially be produced in situ without entailing the emissions caused by ammonia production and transportation by conventional means. It could be a promising substitute for N2-fixing protein-rich soybean because it has 70% higher protein content and double energy conversion efficiency from solar energy to biomass.","container-title":"Environmental Science &amp; Technology","DOI":"10.1021/acs.est.9b06755","ISSN":"1520-5851","issue":"6","journalAbbreviation":"Environ. Sci. Technol.","language":"eng","note":"number: 6\nPMID: 32125831","page":"3609-3617","source":"PubMed","title":"Microbial Protein out of Thin Air: Fixation of Nitrogen Gas by an Autotrophic Hydrogen-Oxidizing Bacterial Enrichment","title-short":"Microbial Protein out of Thin Air","volume":"54","author":[{"family":"Hu","given":"Xiaona"},{"family":"Kerckhof","given":"Frederiek-Maarten"},{"family":"Ghesquière","given":"Justien"},{"family":"Bernaerts","given":"Kristel"},{"family":"Boeckx","given":"Pascal"},{"family":"Clauwaert","given":"Peter"},{"family":"Boon","given":"Nico"}],"issued":{"date-parts":[["2020"]],"season":"17"}}},{"id":70,"uris":["http://zotero.org/users/local/ahqjqVuV/items/W85H7UHF"],"itemData":{"id":70,"type":"article-journal","abstract":"We demonstrate the synthesis of NH3 from N2 and H2O at ambient conditions in a single reactor by coupling hydrogen generation from catalytic water splitting to a H2-oxidizing bacterium Xanthobacter autotrophicus, which performs N2 and CO2 reduction to solid biomass. Living cells of X. autotrophicus may be directly applied as a biofertilizer to improve growth of radishes, a model crop </w:instrText>
      </w:r>
      <w:r w:rsidR="00D36711" w:rsidRPr="00456C92">
        <w:instrText>plan</w:instrText>
      </w:r>
      <w:r w:rsidR="00D36711" w:rsidRPr="00636C63">
        <w:instrText xml:space="preserve">t, by up to </w:instrText>
      </w:r>
      <w:r w:rsidR="00D36711" w:rsidRPr="00636C63">
        <w:rPr>
          <w:rFonts w:ascii="Cambria Math" w:hAnsi="Cambria Math" w:cs="Cambria Math"/>
        </w:rPr>
        <w:instrText>∼</w:instrText>
      </w:r>
      <w:r w:rsidR="00D36711" w:rsidRPr="00636C63">
        <w:instrText>1,440% in terms of storage root mass. The NH3 generated from nitrogenase (N2ase) in X. autotrophicus can be diverted from biomass formation to an extracellular ammonia production with the addition of a glutamate synthetase inhibitor. The N2 reduction reaction proceeds at a low driving force with a turnover number of 9 × 109 cell–1 and turnover frequency of 1.9 × 104 s–1</w:instrText>
      </w:r>
      <w:r w:rsidR="00D36711" w:rsidRPr="00636C63">
        <w:rPr>
          <w:rFonts w:ascii="Cambria Math" w:hAnsi="Cambria Math" w:cs="Cambria Math"/>
        </w:rPr>
        <w:instrText>⋅</w:instrText>
      </w:r>
      <w:r w:rsidR="00D36711" w:rsidRPr="00636C63">
        <w:instrText xml:space="preserve">cell–1 without the use of sacrificial chemical reagents or carbon feedstocks other than CO2. This approach can be powered by renewable electricity, enabling the sustainable and selective production of ammonia and biofertilizers in a distributed manner.","container-title":"Proceedings of the National Academy of Sciences","DOI":"10.1073/pnas.1706371114","ISSN":"0027-8424, 1091-6490","issue":"25","journalAbbreviation":"PNAS","language":"en","license":"©  . Freely available online through the PNAS open access option.","note":"number: 25\npublisher: National Academy of Sciences\nsection: Physical Sciences\nPMID: 28588143","page":"6450-6455","source":"www.pnas.org","title":"Ambient nitrogen reduction cycle using a hybrid inorganic–biological system","volume":"114","author":[{"family":"Liu","given":"Chong"},{"family":"Sakimoto","given":"Kelsey K."},{"family":"Colón","given":"Brendan C."},{"family":"Silver","given":"Pamela A."},{"family":"Nocera","given":"Daniel G."}],"issued":{"date-parts":[["2017",6,20]]}}}],"schema":"https://github.com/citation-style-language/schema/raw/master/csl-citation.json"} </w:instrText>
      </w:r>
      <w:r w:rsidR="00D36711" w:rsidRPr="00D36711">
        <w:fldChar w:fldCharType="separate"/>
      </w:r>
      <w:r w:rsidR="00D36711" w:rsidRPr="00636C63">
        <w:t>(X. Hu et al., 2020; C. Liu et al., 2017)</w:t>
      </w:r>
      <w:r w:rsidR="00D36711" w:rsidRPr="00D36711">
        <w:fldChar w:fldCharType="end"/>
      </w:r>
      <w:r w:rsidR="00D36711" w:rsidRPr="00636C63">
        <w:t>.</w:t>
      </w:r>
    </w:p>
    <w:p w14:paraId="4A98A683" w14:textId="77777777" w:rsidR="002B68D3" w:rsidRPr="00636C63" w:rsidRDefault="002B68D3" w:rsidP="00CE127D">
      <w:pPr>
        <w:pStyle w:val="PCJSection"/>
      </w:pPr>
      <w:bookmarkStart w:id="2" w:name="_Toc99629445"/>
      <w:r w:rsidRPr="00636C63">
        <w:t>Methods</w:t>
      </w:r>
      <w:bookmarkEnd w:id="2"/>
    </w:p>
    <w:p w14:paraId="5D38D93D" w14:textId="77777777" w:rsidR="00643E01" w:rsidRPr="00636C63" w:rsidRDefault="00643E01" w:rsidP="00023F62">
      <w:pPr>
        <w:pStyle w:val="PCJSubsection"/>
      </w:pPr>
      <w:r w:rsidRPr="00636C63">
        <w:t>Inoculum</w:t>
      </w:r>
    </w:p>
    <w:p w14:paraId="68F2D758" w14:textId="77777777" w:rsidR="00643E01" w:rsidRPr="00643E01" w:rsidRDefault="00643E01" w:rsidP="00643E01">
      <w:pPr>
        <w:pStyle w:val="PCJtext"/>
      </w:pPr>
      <w:r w:rsidRPr="00643E01">
        <w:t>Soil samples from a forest, agricultural crop field and a commercial compost were used as microbial inoculum sources. Samples were collected from forest and agricultural soils in the Haute Vallée de l'Aude, France. These sources were selected based on their assumed abundance of N</w:t>
      </w:r>
      <w:r w:rsidRPr="00643E01">
        <w:rPr>
          <w:vertAlign w:val="subscript"/>
        </w:rPr>
        <w:t>2</w:t>
      </w:r>
      <w:r w:rsidRPr="00643E01">
        <w:t xml:space="preserve">-fixing bacteria and their theoretical C/N ratio </w:t>
      </w:r>
      <w:r w:rsidRPr="00643E01">
        <w:fldChar w:fldCharType="begin"/>
      </w:r>
      <w:r w:rsidRPr="00643E01">
        <w:instrText xml:space="preserve"> ADDIN ZOTERO_ITEM CSL_CITATION {"citationID":"JuugX9LS","properties":{"formattedCitation":"(Khan et al., 2016)","plainCitation":"(Khan et al., 2016)","noteIndex":0},"citationItems":[{"id":715,"uris":["http://zotero.org/users/local/ahqjqVuV/items/9U3GBD8U"],"itemData":{"id":715,"type":"article-journal","abstract":"The interrelations between the microbial biomass, total N, organic P, and organic S in the accumulation of soil organic C (SOC) and the contribution of fungal and bacterial residues to SOC, based on amino sugar data, were investigated in the current study. The soils had been developed under humid temperate, arid sub-tropical, and tropical climatic conditions and were used as arable, grass, and forest land. They covered a wide range in soil pH, in salinity as well as in the contents of clay and SOC. An increased microbial biomass C/N ratio due to nutrient limitation is not reflected by any increase in SOM elemental C/N/P/S ratio within the total nutrient pool or within the organic fraction. Increased SOC/total N and SOC/organic S ratios reduced the contribution of microbial biomass C to SOC, whereas neutral soil pH and high clay contents had positive effects. An increased formation of microbial biomass C also enlarged the contribution of microbial residue C to SOC, which accounted on average for 48% SOC in the neutral arable and moderate acidic grassland soils and for 30% in the saline arable and strongly acidic forest soils. The fungal C to bacterial C ratio increased with increasing acidity from 0.9 in the saline arable soils to 4.5 in the strongly acidic forest soils. Consequently, the relationship of the fungal C to bacterial C ratio was not simply related to the contribution of microbial residues to SOC. The lower the ergosterol to fungal GlcN ratio, the higher the contribution of microbial residues to SOC. This means the higher the contribution of arbuscular mycorrhizal fungi and the lower the contribution of saprotrophic fungi to the microbial community, the more fungal residues can be sequestered to SOC.","container-title":"Geoderma","DOI":"10.1016/j.geoderma.2016.02.019","ISSN":"0016-7061","journalAbbreviation":"Geoderma","language":"en","page":"115-123","source":"ScienceDirect","title":"Microbial biomass, fungal and bacterial residues, and their relationships to the soil organic matter C/N/P/S ratios","volume":"271","author":[{"family":"Khan","given":"Khalid Saifullah"},{"family":"Mack","given":"Ralf"},{"family":"Castillo","given":"Xiomara"},{"family":"Kaiser","given":"Michael"},{"family":"Joergensen","given":"Rainer Georg"}],"issued":{"date-parts":[["2016",6,1]]}}}],"schema":"https://github.com/citation-style-language/schema/raw/master/csl-citation.json"} </w:instrText>
      </w:r>
      <w:r w:rsidRPr="00643E01">
        <w:fldChar w:fldCharType="separate"/>
      </w:r>
      <w:r w:rsidRPr="00643E01">
        <w:t>(Khan et al., 2016)</w:t>
      </w:r>
      <w:r w:rsidRPr="00643E01">
        <w:fldChar w:fldCharType="end"/>
      </w:r>
      <w:r w:rsidRPr="00643E01">
        <w:t>. One to two mg of each samples were used as inoculum in 50mL of medium for preliminary enrichment culture.</w:t>
      </w:r>
    </w:p>
    <w:p w14:paraId="473C312C" w14:textId="77777777" w:rsidR="00643E01" w:rsidRPr="00643E01" w:rsidRDefault="00643E01" w:rsidP="00023F62">
      <w:pPr>
        <w:pStyle w:val="PCJSubsection"/>
      </w:pPr>
      <w:r w:rsidRPr="00643E01">
        <w:t>Culture medi</w:t>
      </w:r>
      <w:r w:rsidR="00023F62">
        <w:t>a</w:t>
      </w:r>
    </w:p>
    <w:p w14:paraId="6B373588" w14:textId="5504BDE4" w:rsidR="00643E01" w:rsidRPr="00643E01" w:rsidRDefault="00643E01" w:rsidP="00643E01">
      <w:pPr>
        <w:pStyle w:val="PCJtext"/>
      </w:pPr>
      <w:r w:rsidRPr="00643E01">
        <w:t>The culture media were both formulated on the basis of H3 medium (81 DSMZ) used for enrichment of soil autotrophic bacteria. The medium consisted of 2.3g KH</w:t>
      </w:r>
      <w:r w:rsidRPr="00643E01">
        <w:rPr>
          <w:vertAlign w:val="subscript"/>
        </w:rPr>
        <w:t>2</w:t>
      </w:r>
      <w:r w:rsidRPr="00643E01">
        <w:t>PO</w:t>
      </w:r>
      <w:r w:rsidRPr="00643E01">
        <w:rPr>
          <w:vertAlign w:val="subscript"/>
        </w:rPr>
        <w:t>4</w:t>
      </w:r>
      <w:r w:rsidRPr="00643E01">
        <w:t xml:space="preserve"> and 2.9g Na</w:t>
      </w:r>
      <w:r w:rsidRPr="00643E01">
        <w:rPr>
          <w:vertAlign w:val="subscript"/>
        </w:rPr>
        <w:t>2</w:t>
      </w:r>
      <w:r w:rsidRPr="00643E01">
        <w:t>HPO</w:t>
      </w:r>
      <w:r w:rsidRPr="00643E01">
        <w:rPr>
          <w:vertAlign w:val="subscript"/>
        </w:rPr>
        <w:t>4</w:t>
      </w:r>
      <w:r w:rsidRPr="00643E01">
        <w:t xml:space="preserve"> 2H</w:t>
      </w:r>
      <w:r w:rsidRPr="00643E01">
        <w:rPr>
          <w:vertAlign w:val="subscript"/>
        </w:rPr>
        <w:t>2</w:t>
      </w:r>
      <w:r w:rsidRPr="00643E01">
        <w:t>O per liter as buffer, 0.5g MgSO</w:t>
      </w:r>
      <w:r w:rsidRPr="00643E01">
        <w:rPr>
          <w:vertAlign w:val="subscript"/>
        </w:rPr>
        <w:t>4</w:t>
      </w:r>
      <w:r w:rsidRPr="00643E01">
        <w:t xml:space="preserve"> 7H</w:t>
      </w:r>
      <w:r w:rsidRPr="00643E01">
        <w:rPr>
          <w:vertAlign w:val="subscript"/>
        </w:rPr>
        <w:t>2</w:t>
      </w:r>
      <w:r w:rsidRPr="00643E01">
        <w:t>O, 0.01g CaCl</w:t>
      </w:r>
      <w:r w:rsidRPr="00643E01">
        <w:rPr>
          <w:vertAlign w:val="subscript"/>
        </w:rPr>
        <w:t>2</w:t>
      </w:r>
      <w:r w:rsidRPr="00643E01">
        <w:t xml:space="preserve"> 2H</w:t>
      </w:r>
      <w:r w:rsidRPr="00643E01">
        <w:rPr>
          <w:vertAlign w:val="subscript"/>
        </w:rPr>
        <w:t>2</w:t>
      </w:r>
      <w:r w:rsidRPr="00643E01">
        <w:t>O, 0.005g MnCl</w:t>
      </w:r>
      <w:r w:rsidRPr="00643E01">
        <w:rPr>
          <w:vertAlign w:val="subscript"/>
        </w:rPr>
        <w:t>2</w:t>
      </w:r>
      <w:r w:rsidRPr="00643E01">
        <w:t xml:space="preserve"> 4H</w:t>
      </w:r>
      <w:r w:rsidRPr="00643E01">
        <w:rPr>
          <w:vertAlign w:val="subscript"/>
        </w:rPr>
        <w:t>2</w:t>
      </w:r>
      <w:r w:rsidRPr="00643E01">
        <w:t>O, 0.005g NaVO</w:t>
      </w:r>
      <w:r w:rsidRPr="00643E01">
        <w:rPr>
          <w:vertAlign w:val="subscript"/>
        </w:rPr>
        <w:t>3</w:t>
      </w:r>
      <w:r w:rsidRPr="00643E01">
        <w:t xml:space="preserve"> H</w:t>
      </w:r>
      <w:r w:rsidRPr="00643E01">
        <w:rPr>
          <w:vertAlign w:val="subscript"/>
        </w:rPr>
        <w:t>2</w:t>
      </w:r>
      <w:r w:rsidRPr="00643E01">
        <w:t xml:space="preserve">O, and 5mL of SL-6 trace element solution per liter of medium, with 5mL of vitamin solution. </w:t>
      </w:r>
      <w:r w:rsidRPr="00C13637">
        <w:rPr>
          <w:highlight w:val="yellow"/>
        </w:rPr>
        <w:t>The</w:t>
      </w:r>
      <w:r w:rsidR="00E83D83" w:rsidRPr="00C13637">
        <w:rPr>
          <w:highlight w:val="yellow"/>
        </w:rPr>
        <w:t xml:space="preserve"> SL-6</w:t>
      </w:r>
      <w:r w:rsidRPr="00C13637">
        <w:rPr>
          <w:highlight w:val="yellow"/>
        </w:rPr>
        <w:t xml:space="preserve"> </w:t>
      </w:r>
      <w:r w:rsidR="00E83D83" w:rsidRPr="00C13637">
        <w:rPr>
          <w:highlight w:val="yellow"/>
        </w:rPr>
        <w:t>trace element</w:t>
      </w:r>
      <w:r w:rsidRPr="00C13637">
        <w:rPr>
          <w:highlight w:val="yellow"/>
        </w:rPr>
        <w:t xml:space="preserve"> solution consisted of 0.1g ZnSO</w:t>
      </w:r>
      <w:r w:rsidRPr="00C13637">
        <w:rPr>
          <w:highlight w:val="yellow"/>
          <w:vertAlign w:val="subscript"/>
        </w:rPr>
        <w:t>4</w:t>
      </w:r>
      <w:r w:rsidRPr="00C13637">
        <w:rPr>
          <w:highlight w:val="yellow"/>
        </w:rPr>
        <w:t xml:space="preserve"> 7H</w:t>
      </w:r>
      <w:r w:rsidRPr="00C13637">
        <w:rPr>
          <w:highlight w:val="yellow"/>
          <w:vertAlign w:val="subscript"/>
        </w:rPr>
        <w:t>2</w:t>
      </w:r>
      <w:r w:rsidRPr="00C13637">
        <w:rPr>
          <w:highlight w:val="yellow"/>
        </w:rPr>
        <w:t>O, 0.03g MnCl</w:t>
      </w:r>
      <w:r w:rsidRPr="00C13637">
        <w:rPr>
          <w:highlight w:val="yellow"/>
          <w:vertAlign w:val="subscript"/>
        </w:rPr>
        <w:t>2</w:t>
      </w:r>
      <w:r w:rsidRPr="00C13637">
        <w:rPr>
          <w:highlight w:val="yellow"/>
        </w:rPr>
        <w:t xml:space="preserve"> 4H</w:t>
      </w:r>
      <w:r w:rsidRPr="00C13637">
        <w:rPr>
          <w:highlight w:val="yellow"/>
          <w:vertAlign w:val="subscript"/>
        </w:rPr>
        <w:t>2</w:t>
      </w:r>
      <w:r w:rsidRPr="00C13637">
        <w:rPr>
          <w:highlight w:val="yellow"/>
        </w:rPr>
        <w:t>O, 0.3g H</w:t>
      </w:r>
      <w:r w:rsidRPr="00C13637">
        <w:rPr>
          <w:highlight w:val="yellow"/>
          <w:vertAlign w:val="subscript"/>
        </w:rPr>
        <w:t>3</w:t>
      </w:r>
      <w:r w:rsidRPr="00C13637">
        <w:rPr>
          <w:highlight w:val="yellow"/>
        </w:rPr>
        <w:t>BO</w:t>
      </w:r>
      <w:r w:rsidRPr="00C13637">
        <w:rPr>
          <w:highlight w:val="yellow"/>
          <w:vertAlign w:val="subscript"/>
        </w:rPr>
        <w:t>3</w:t>
      </w:r>
      <w:r w:rsidRPr="00C13637">
        <w:rPr>
          <w:highlight w:val="yellow"/>
        </w:rPr>
        <w:t xml:space="preserve"> 0.2 CoCl</w:t>
      </w:r>
      <w:r w:rsidRPr="00C13637">
        <w:rPr>
          <w:highlight w:val="yellow"/>
          <w:vertAlign w:val="subscript"/>
        </w:rPr>
        <w:t>2</w:t>
      </w:r>
      <w:r w:rsidRPr="00C13637">
        <w:rPr>
          <w:highlight w:val="yellow"/>
        </w:rPr>
        <w:t xml:space="preserve"> 6H</w:t>
      </w:r>
      <w:r w:rsidRPr="00C13637">
        <w:rPr>
          <w:highlight w:val="yellow"/>
          <w:vertAlign w:val="subscript"/>
        </w:rPr>
        <w:t>2</w:t>
      </w:r>
      <w:r w:rsidRPr="00C13637">
        <w:rPr>
          <w:highlight w:val="yellow"/>
        </w:rPr>
        <w:t>O, 0.01g CuCl</w:t>
      </w:r>
      <w:r w:rsidRPr="00C13637">
        <w:rPr>
          <w:highlight w:val="yellow"/>
          <w:vertAlign w:val="subscript"/>
        </w:rPr>
        <w:t>2</w:t>
      </w:r>
      <w:r w:rsidRPr="00C13637">
        <w:rPr>
          <w:highlight w:val="yellow"/>
        </w:rPr>
        <w:t xml:space="preserve"> 2H</w:t>
      </w:r>
      <w:r w:rsidRPr="00C13637">
        <w:rPr>
          <w:highlight w:val="yellow"/>
          <w:vertAlign w:val="subscript"/>
        </w:rPr>
        <w:t>2</w:t>
      </w:r>
      <w:r w:rsidRPr="00C13637">
        <w:rPr>
          <w:highlight w:val="yellow"/>
        </w:rPr>
        <w:t>O, 0.02g NiCl</w:t>
      </w:r>
      <w:r w:rsidRPr="00C13637">
        <w:rPr>
          <w:highlight w:val="yellow"/>
          <w:vertAlign w:val="subscript"/>
        </w:rPr>
        <w:t>2</w:t>
      </w:r>
      <w:r w:rsidRPr="00C13637">
        <w:rPr>
          <w:highlight w:val="yellow"/>
        </w:rPr>
        <w:t xml:space="preserve"> 6H</w:t>
      </w:r>
      <w:r w:rsidRPr="00C13637">
        <w:rPr>
          <w:highlight w:val="yellow"/>
          <w:vertAlign w:val="subscript"/>
        </w:rPr>
        <w:t>2</w:t>
      </w:r>
      <w:r w:rsidRPr="00C13637">
        <w:rPr>
          <w:highlight w:val="yellow"/>
        </w:rPr>
        <w:t>O, and 0.03g Na</w:t>
      </w:r>
      <w:r w:rsidRPr="00C13637">
        <w:rPr>
          <w:highlight w:val="yellow"/>
          <w:vertAlign w:val="subscript"/>
        </w:rPr>
        <w:t>2</w:t>
      </w:r>
      <w:r w:rsidRPr="00C13637">
        <w:rPr>
          <w:highlight w:val="yellow"/>
        </w:rPr>
        <w:t>MoO</w:t>
      </w:r>
      <w:r w:rsidRPr="00C13637">
        <w:rPr>
          <w:highlight w:val="yellow"/>
          <w:vertAlign w:val="subscript"/>
        </w:rPr>
        <w:t>4</w:t>
      </w:r>
      <w:r w:rsidRPr="00C13637">
        <w:rPr>
          <w:highlight w:val="yellow"/>
        </w:rPr>
        <w:t xml:space="preserve"> 2H</w:t>
      </w:r>
      <w:r w:rsidRPr="00C13637">
        <w:rPr>
          <w:highlight w:val="yellow"/>
          <w:vertAlign w:val="subscript"/>
        </w:rPr>
        <w:t>2</w:t>
      </w:r>
      <w:r w:rsidRPr="00C13637">
        <w:rPr>
          <w:highlight w:val="yellow"/>
        </w:rPr>
        <w:t>O per liter of solution.</w:t>
      </w:r>
      <w:r w:rsidR="00E83D83" w:rsidRPr="00C13637">
        <w:rPr>
          <w:highlight w:val="yellow"/>
        </w:rPr>
        <w:t xml:space="preserve"> Th</w:t>
      </w:r>
      <w:r w:rsidR="00E83D83" w:rsidRPr="000B0272">
        <w:rPr>
          <w:highlight w:val="yellow"/>
        </w:rPr>
        <w:t>e vitamine solution consisted of 10mg Riboflavin, 50mg Thiamine-HCl 2H</w:t>
      </w:r>
      <w:r w:rsidR="00E83D83" w:rsidRPr="000B0272">
        <w:rPr>
          <w:highlight w:val="yellow"/>
          <w:vertAlign w:val="subscript"/>
        </w:rPr>
        <w:t>2</w:t>
      </w:r>
      <w:r w:rsidR="00E83D83" w:rsidRPr="000B0272">
        <w:rPr>
          <w:highlight w:val="yellow"/>
        </w:rPr>
        <w:t>O, 50mg Nicotinic acid, 50mg Pyridoxine-HCl, 50mg Ca-Pantothenate, 0.1mg Biotin, 0.2mg Folic acid and 1mg Vitamin B</w:t>
      </w:r>
      <w:r w:rsidR="00E83D83" w:rsidRPr="000B0272">
        <w:rPr>
          <w:highlight w:val="yellow"/>
          <w:vertAlign w:val="subscript"/>
        </w:rPr>
        <w:t>12</w:t>
      </w:r>
      <w:r w:rsidR="00E83D83" w:rsidRPr="000B0272">
        <w:rPr>
          <w:highlight w:val="yellow"/>
        </w:rPr>
        <w:t xml:space="preserve"> for 100 mL of distilled water</w:t>
      </w:r>
      <w:r w:rsidR="00E83D83">
        <w:t>.</w:t>
      </w:r>
      <w:r w:rsidRPr="00643E01">
        <w:t xml:space="preserve"> Iron citrate was added to the enrichment bottles at a concentration of 0.05 g/L but not to the microbial bioelectrochemical systems in which the cathode was used as sole electron source</w:t>
      </w:r>
      <w:r w:rsidR="00810D70">
        <w:t xml:space="preserve"> </w:t>
      </w:r>
      <w:r w:rsidR="00810D70" w:rsidRPr="00456C92">
        <w:rPr>
          <w:highlight w:val="yellow"/>
        </w:rPr>
        <w:t>when only CO</w:t>
      </w:r>
      <w:r w:rsidR="00810D70" w:rsidRPr="00456C92">
        <w:rPr>
          <w:highlight w:val="yellow"/>
          <w:vertAlign w:val="subscript"/>
        </w:rPr>
        <w:t>2</w:t>
      </w:r>
      <w:r w:rsidR="00810D70" w:rsidRPr="00456C92">
        <w:rPr>
          <w:highlight w:val="yellow"/>
        </w:rPr>
        <w:t xml:space="preserve"> was suplied</w:t>
      </w:r>
      <w:r w:rsidRPr="00643E01">
        <w:t>. An organic carbon solution (organic C) was composed of 2g/L D-glucose, 1g/L yeast extract, 1g/L Na-acetate, 1g/L DL-malic acid, 1g/L Na-lactate, 1g/L Na-pyruvate, and 1g/L D-mannitol and used when indicated. NH</w:t>
      </w:r>
      <w:r w:rsidRPr="00643E01">
        <w:rPr>
          <w:vertAlign w:val="subscript"/>
        </w:rPr>
        <w:t>4</w:t>
      </w:r>
      <w:r w:rsidRPr="00643E01">
        <w:t>Cl was added at 1 g/L only when indicated. All enrichment procedures were maintained at 30°C and the pH was adjusted to 6.8 with NaHCO</w:t>
      </w:r>
      <w:r w:rsidRPr="00643E01">
        <w:rPr>
          <w:vertAlign w:val="subscript"/>
        </w:rPr>
        <w:t>3</w:t>
      </w:r>
      <w:r w:rsidRPr="00643E01">
        <w:t xml:space="preserve"> in the microbial bioelectrochemical systems and the enrichment cultures without organic C addition. When the organic C solution was used, the pH was adjusted between 6.3 and 6.5.</w:t>
      </w:r>
    </w:p>
    <w:p w14:paraId="400D865C" w14:textId="77777777" w:rsidR="00643E01" w:rsidRPr="00643E01" w:rsidRDefault="00643E01" w:rsidP="00023F62">
      <w:pPr>
        <w:pStyle w:val="PCJSubsection"/>
      </w:pPr>
      <w:r w:rsidRPr="00643E01">
        <w:t xml:space="preserve">Design of microbial electrochemical system </w:t>
      </w:r>
    </w:p>
    <w:p w14:paraId="05A92388" w14:textId="13DB433E" w:rsidR="004F5373" w:rsidRPr="00C13637" w:rsidRDefault="00643E01" w:rsidP="00456C92">
      <w:pPr>
        <w:pStyle w:val="PCJtext"/>
      </w:pPr>
      <w:r w:rsidRPr="00643E01">
        <w:t>The electrochemical system used for our enrichment were composed of two chambers separated by an anion exchange membrane (AEM) (fumasep ® FAB-PK-130). The AEM was used to avoid the migration of NH</w:t>
      </w:r>
      <w:r w:rsidRPr="00643E01">
        <w:rPr>
          <w:vertAlign w:val="subscript"/>
        </w:rPr>
        <w:t>4</w:t>
      </w:r>
      <w:r w:rsidRPr="00643E01">
        <w:rPr>
          <w:vertAlign w:val="superscript"/>
        </w:rPr>
        <w:t>+</w:t>
      </w:r>
      <w:r w:rsidRPr="00643E01">
        <w:t xml:space="preserve"> ions to the anodic chamber. Each chamber had a total volume of one liter. The pH of the reactors was adjusted to 6.8 at the beginning of each batch experiment. Each system had a 25 cm</w:t>
      </w:r>
      <w:r w:rsidRPr="00643E01">
        <w:rPr>
          <w:vertAlign w:val="superscript"/>
        </w:rPr>
        <w:t>2</w:t>
      </w:r>
      <w:r w:rsidRPr="00643E01">
        <w:t xml:space="preserve"> square carbon felt working electrode with a thickness of 0.7 cm and a 16 cm</w:t>
      </w:r>
      <w:r w:rsidRPr="00643E01">
        <w:rPr>
          <w:vertAlign w:val="superscript"/>
        </w:rPr>
        <w:t>2</w:t>
      </w:r>
      <w:r w:rsidRPr="00643E01">
        <w:t xml:space="preserve"> square Pt-Ir grid as a counter electrode. The carbon felt electrodes were conditioned using chemical treatment with HCl , a flush with ethanol and a heat treatment at +400°C as described elsewhere by Paul et al </w:t>
      </w:r>
      <w:r w:rsidRPr="00643E01">
        <w:rPr>
          <w:i/>
        </w:rPr>
        <w:fldChar w:fldCharType="begin"/>
      </w:r>
      <w:r w:rsidRPr="00643E01">
        <w:rPr>
          <w:i/>
        </w:rPr>
        <w:instrText xml:space="preserve"> ADDIN ZOTERO_ITEM CSL_CITATION {"citationID":"NYbbReNP","properties":{"formattedCitation":"(Paul et al., 2018)","plainCitation":"(Paul et al., 2018)","noteIndex":0},"citationItems":[{"id":830,"uris":["http://zotero.org/users/local/ahqjqVuV/items/JKFW3P7C"],"itemData":{"id":830,"type":"article-journal","abstract":"The present investigation explores the potentiality of porous tetrahedral zeolite clay composited with graphene oxide (GO) to be used as superior biocompatible anode material for microbial fuel cell (MFC). Anode base material carbon felt was modified either with GO-zeolite (GZMA) or only GO (GMA) and used as anode in the MFCs. Cyclic voltammetry analysis demonstrated oxidation peaks at −0.29 mV and +0.179 mV with respective peak current of 2.4 mA and 0.22 mA using GZMA. These currents were found to be much higher than the other two tested anodes viz. GMA and bare carbon felt anode. Power density and coulombic efficiency of 280.56 mW/m2 and 44 ± 2.8%, respectively, from MFC using GZMA were found to be 3.6 and 2.75-times higher as compared to MFC using bare carbon felt anode (77.82 mW/m2 and 16.3 ± 1.4%, respectively). High specific surface area of graphene oxide facilitated extensive support for zeolite capping and superior bacterial cell adhesion property of zeolite enhanced the anode bio-compatibility of GZMA, which resulted in considerable improved performance of MFC.","container-title":"Sustainable Energy Technologies and Assessments","DOI":"10.1016/j.seta.2017.10.001","ISSN":"2213-1388","journalAbbreviation":"Sustainable Energy Technologies and Assessments","language":"en","page":"77-82","source":"ScienceDirect","title":"Modification of carbon felt anode with graphene oxide-zeolite composite for enhancing the performance of microbial fuel cell","volume":"26","author":[{"family":"Paul","given":"D."},{"family":"Noori","given":"M. T."},{"family":"Rajesh","given":"P. P."},{"family":"Ghangrekar","given":"M. M."},{"family":"Mitra","given":"A."}],"issued":{"date-parts":[["2018",4,1]]}}}],"schema":"https://github.com/citation-style-language/schema/raw/master/csl-citation.json"} </w:instrText>
      </w:r>
      <w:r w:rsidRPr="00643E01">
        <w:rPr>
          <w:i/>
        </w:rPr>
        <w:fldChar w:fldCharType="separate"/>
      </w:r>
      <w:r w:rsidRPr="00643E01">
        <w:t>(Paul et al., 2018)</w:t>
      </w:r>
      <w:r w:rsidRPr="00643E01">
        <w:fldChar w:fldCharType="end"/>
      </w:r>
      <w:r w:rsidRPr="00643E01">
        <w:t>. The systems were inoculated with the flask enrichments used for N</w:t>
      </w:r>
      <w:r w:rsidRPr="00643E01">
        <w:rPr>
          <w:vertAlign w:val="subscript"/>
        </w:rPr>
        <w:t>2</w:t>
      </w:r>
      <w:r w:rsidRPr="00643E01">
        <w:t xml:space="preserve"> fixation in presence of organic C (N-free medium). After </w:t>
      </w:r>
      <w:r w:rsidRPr="00643E01">
        <w:lastRenderedPageBreak/>
        <w:t xml:space="preserve">inoculation, the organic C supply was reduced to 10% of the initial supply in all reactors. </w:t>
      </w:r>
      <w:r w:rsidRPr="00456C92">
        <w:rPr>
          <w:highlight w:val="yellow"/>
        </w:rPr>
        <w:t>The organic C supply was then totally replaced by CO</w:t>
      </w:r>
      <w:r w:rsidRPr="00456C92">
        <w:rPr>
          <w:highlight w:val="yellow"/>
          <w:vertAlign w:val="subscript"/>
        </w:rPr>
        <w:t>2</w:t>
      </w:r>
      <w:r w:rsidRPr="00456C92">
        <w:rPr>
          <w:highlight w:val="yellow"/>
        </w:rPr>
        <w:t xml:space="preserve"> supply</w:t>
      </w:r>
      <w:r w:rsidR="00810D70" w:rsidRPr="00456C92">
        <w:rPr>
          <w:highlight w:val="yellow"/>
        </w:rPr>
        <w:t xml:space="preserve"> after 60 days</w:t>
      </w:r>
      <w:r w:rsidRPr="00643E01">
        <w:t>. Two of the systems were polarized and two other reactors were used as controls with open current voltage (non-polarized cathode enrichment, nPCE). The working electrodes of the polarized cathode enrichment (PCE) were poised at a potential of -0.940 V vs. saturated calomel electrode (SCE) used as a reference. The system was connected to a VMP3.0 potentiostat (BioLogic). The current was measured over time by a chronoamperometry method</w:t>
      </w:r>
      <w:r w:rsidR="00DF1FA3">
        <w:t>.</w:t>
      </w:r>
      <w:r w:rsidRPr="00643E01">
        <w:t xml:space="preserve"> </w:t>
      </w:r>
      <w:r w:rsidR="00F870B6" w:rsidRPr="00C13637">
        <w:rPr>
          <w:highlight w:val="yellow"/>
        </w:rPr>
        <w:t xml:space="preserve">The current intensity was used to monitor the availability of electrons in the electroactive biofilm. An increase of the current intensity was representative of an increase of the reduction reactions at the cathode. The increase of these reduction reactions, abiotic or not, was assumed to bring more electrons to the bacterial community. It was therefore assumed that an increase in current intensity was related to the enrichment of bacteria able to use the cathode as electron source </w:t>
      </w:r>
      <w:r w:rsidR="00F870B6" w:rsidRPr="00C13637">
        <w:rPr>
          <w:highlight w:val="yellow"/>
        </w:rPr>
        <w:fldChar w:fldCharType="begin"/>
      </w:r>
      <w:r w:rsidR="00F870B6" w:rsidRPr="00C13637">
        <w:rPr>
          <w:highlight w:val="yellow"/>
        </w:rPr>
        <w:instrText xml:space="preserve"> ADDIN ZOTERO_ITEM CSL_CITATION {"citationID":"yQiFuYmd","properties":{"formattedCitation":"(Zaybak et al., 2013)","plainCitation":"(Zaybak et al., 2013)","noteIndex":0},"citationItems":[{"id":450,"uris":["http://zotero.org/users/local/ahqjqVuV/items/4UKJM6WQ"],"itemData":{"id":450,"type":"article-journal","abstract":"Biocathodes in bioelectrochemical systems (BESs) can be used to convert CO2 into diverse organic compounds through a process called microbial electrosynthesis. Unfortunately, start-up of anaerobic biocathodes in BESs is a difficult and time consuming process. Here, a pre-enrichment method was developed to improve start-up of anaerobic facultatively autotrophic biocathodes capable of using cathodes as the electron donor (electrotrophs) and CO2 as the electron acceptor. Anaerobic enrichment of bacteria from freshwater bog sediment samples was first performed in batch cultures fed with glucose and then used to inoculate BES cathode chambers set at −0.4V (versus a standard hydrogen electrode; SHE). After two weeks of heterotrophic operation of BESs, CO2 was provided as the sole electron acceptor and carbon source. Consumption of electrons from cathodes increased gradually and was sustained for about two months in concert with a significant decrease in cathode chamber headspace CO2. The maximum current density consumed was −34±4mA/m2. Biosynthesis resulted in organic compounds that included butanol, ethanol, acetate, propionate, butyrate, and hydrogen gas. Bacterial community analyses based on 16S rRNA gene clone libraries revealed Trichococcus palustris DSM 9172 (99% sequence identity) as the prevailing species in biocathode communities, followed by Oscillibacter sp. and Clostridium sp. Isolates from autotrophic cultivation were most closely related to Clostridium propionicum (99% sequence identity; ZZ16), Clostridium celerecrescens (98–99%; ZZ22, ZZ23), Desulfotomaculum sp. (97%; ZZ21), and Tissierella sp. (98%; ZZ25). This pre-enrichment procedure enables simplified start-up of anaerobic biocathodes for applications such as electrofuel production by facultatively autotrophic electrotrophs.","container-title":"Journal of Biotechnology","DOI":"10.1016/j.jbiotec.2013.10.001","ISSN":"0168-1656","issue":"4","journalAbbreviation":"Journal of Biotechnology","language":"en","page":"478-485","source":"ScienceDirect","title":"Enhanced start-up of anaerobic facultatively autotrophic biocathodes in bioelectrochemical systems","volume":"168","author":[{"family":"Zaybak","given":"Zehra"},{"family":"Pisciotta","given":"John M."},{"family":"Tokash","given":"Justin C."},{"family":"Logan","given":"Bruce E."}],"issued":{"date-parts":[["2013",12,1]]}}}],"schema":"https://github.com/citation-style-language/schema/raw/master/csl-citation.json"} </w:instrText>
      </w:r>
      <w:r w:rsidR="00F870B6" w:rsidRPr="00C13637">
        <w:rPr>
          <w:highlight w:val="yellow"/>
        </w:rPr>
        <w:fldChar w:fldCharType="separate"/>
      </w:r>
      <w:r w:rsidR="00F870B6" w:rsidRPr="00C13637">
        <w:rPr>
          <w:highlight w:val="yellow"/>
        </w:rPr>
        <w:t>(Zaybak et al., 2013)</w:t>
      </w:r>
      <w:r w:rsidR="00F870B6" w:rsidRPr="00C13637">
        <w:rPr>
          <w:highlight w:val="yellow"/>
        </w:rPr>
        <w:fldChar w:fldCharType="end"/>
      </w:r>
      <w:r w:rsidR="00F870B6" w:rsidRPr="00C13637">
        <w:rPr>
          <w:highlight w:val="yellow"/>
        </w:rPr>
        <w:t>.</w:t>
      </w:r>
      <w:r w:rsidR="004F5373" w:rsidRPr="00C13637">
        <w:t xml:space="preserve"> The current density </w:t>
      </w:r>
      <w:r w:rsidR="004F5373" w:rsidRPr="00C13637">
        <w:rPr>
          <w:i/>
        </w:rPr>
        <w:t>J</w:t>
      </w:r>
      <w:r w:rsidR="004F5373" w:rsidRPr="00C13637">
        <w:t xml:space="preserve"> was calculated using the surface of the working electrode, i.e. 25 cm</w:t>
      </w:r>
      <w:r w:rsidR="004F5373" w:rsidRPr="00C13637">
        <w:rPr>
          <w:vertAlign w:val="superscript"/>
        </w:rPr>
        <w:t>2</w:t>
      </w:r>
      <w:r w:rsidR="00810D70" w:rsidRPr="00C13637">
        <w:t>.</w:t>
      </w:r>
    </w:p>
    <w:p w14:paraId="2A4E3452" w14:textId="390AC041" w:rsidR="00643E01" w:rsidRPr="00643E01" w:rsidRDefault="00643E01" w:rsidP="00DF1FA3">
      <w:pPr>
        <w:pStyle w:val="PCJtext"/>
      </w:pPr>
      <w:r w:rsidRPr="00643E01">
        <w:t xml:space="preserve">Before inoculation of the reactors, an initial chronoamperometry measurement was performed along the first </w:t>
      </w:r>
      <w:r w:rsidR="00CF1002">
        <w:t>four</w:t>
      </w:r>
      <w:r w:rsidRPr="00643E01">
        <w:t xml:space="preserve"> days of operation with only organic carbon in the medium to determine the basal current density in absence of bacteria. Two other abiotic reactors for 15 days were then implemented to measure the current density in a medium without organic C.</w:t>
      </w:r>
      <w:r w:rsidRPr="00643E01" w:rsidDel="00CD5834">
        <w:t xml:space="preserve"> </w:t>
      </w:r>
      <w:r w:rsidR="00EB659D" w:rsidRPr="00C13637">
        <w:rPr>
          <w:highlight w:val="yellow"/>
        </w:rPr>
        <w:t>In order to validate the role of the cathode as electron source, two OCV (nPCE) reactors were carried out. The current densities of the abiotics reactors over a short period were therefore used as a reference to be compared with the measurements made after inoculation and monitor the increase of the activity of reduction at the cathode.</w:t>
      </w:r>
    </w:p>
    <w:p w14:paraId="1539FFFD" w14:textId="5506115A" w:rsidR="00643E01" w:rsidRDefault="00532170" w:rsidP="00643E01">
      <w:pPr>
        <w:pStyle w:val="PCJtext"/>
      </w:pPr>
      <w:r w:rsidRPr="00532170">
        <w:rPr>
          <w:highlight w:val="yellow"/>
        </w:rPr>
        <w:t>Electrons</w:t>
      </w:r>
      <w:r w:rsidR="00643E01" w:rsidRPr="00643E01">
        <w:t xml:space="preserve"> required for the production of microbial metabolites and for biomass growth was then used to calculate the Coulombic efficiency of the PCE according to the equations 1-5:</w:t>
      </w:r>
    </w:p>
    <w:p w14:paraId="6D1E4A59" w14:textId="77777777" w:rsidR="00643E01" w:rsidRPr="00643E01" w:rsidRDefault="00643E01" w:rsidP="00643E01">
      <w:pPr>
        <w:pStyle w:val="PCJtext"/>
      </w:pPr>
    </w:p>
    <w:p w14:paraId="3E173670" w14:textId="77777777" w:rsidR="00643E01" w:rsidRPr="00643E01" w:rsidRDefault="00643E01" w:rsidP="00643E01">
      <w:pPr>
        <w:pStyle w:val="PCJtext"/>
      </w:pPr>
      <w:r>
        <w:t>Eq. 1</w:t>
      </w:r>
      <w:r>
        <w:tab/>
      </w:r>
      <m:oMath>
        <m:r>
          <w:rPr>
            <w:rFonts w:ascii="Cambria Math" w:hAnsi="Cambria Math"/>
          </w:rPr>
          <m:t xml:space="preserve">2.1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+0.2N</m:t>
        </m:r>
        <m:sSubSup>
          <m:sSubSupPr>
            <m:ctrlPr>
              <w:rPr>
                <w:rFonts w:ascii="Cambria Math" w:hAnsi="Cambria Math"/>
                <w:i/>
              </w:rPr>
            </m:ctrlPr>
          </m:sSubSupPr>
          <m:e>
            <m:r>
              <w:rPr>
                <w:rFonts w:ascii="Cambria Math" w:hAnsi="Cambria Math"/>
              </w:rPr>
              <m:t>H</m:t>
            </m:r>
          </m:e>
          <m:sub>
            <m:r>
              <w:rPr>
                <w:rFonts w:ascii="Cambria Math" w:hAnsi="Cambria Math"/>
              </w:rPr>
              <m:t>4</m:t>
            </m:r>
          </m:sub>
          <m:sup>
            <m:r>
              <w:rPr>
                <w:rFonts w:ascii="Cambria Math" w:hAnsi="Cambria Math"/>
              </w:rPr>
              <m:t>+</m:t>
            </m:r>
          </m:sup>
        </m:sSubSup>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1.8</m:t>
            </m:r>
          </m:sub>
        </m:sSub>
        <m:sSub>
          <m:sSubPr>
            <m:ctrlPr>
              <w:rPr>
                <w:rFonts w:ascii="Cambria Math" w:hAnsi="Cambria Math"/>
                <w:i/>
              </w:rPr>
            </m:ctrlPr>
          </m:sSubPr>
          <m:e>
            <m:r>
              <w:rPr>
                <w:rFonts w:ascii="Cambria Math" w:hAnsi="Cambria Math"/>
              </w:rPr>
              <m:t>O</m:t>
            </m:r>
          </m:e>
          <m:sub>
            <m:r>
              <w:rPr>
                <w:rFonts w:ascii="Cambria Math" w:hAnsi="Cambria Math"/>
              </w:rPr>
              <m:t>0.5</m:t>
            </m:r>
          </m:sub>
        </m:sSub>
        <m:sSub>
          <m:sSubPr>
            <m:ctrlPr>
              <w:rPr>
                <w:rFonts w:ascii="Cambria Math" w:hAnsi="Cambria Math"/>
                <w:i/>
              </w:rPr>
            </m:ctrlPr>
          </m:sSubPr>
          <m:e>
            <m:r>
              <w:rPr>
                <w:rFonts w:ascii="Cambria Math" w:hAnsi="Cambria Math"/>
              </w:rPr>
              <m:t>N</m:t>
            </m:r>
          </m:e>
          <m:sub>
            <m:r>
              <w:rPr>
                <w:rFonts w:ascii="Cambria Math" w:hAnsi="Cambria Math"/>
              </w:rPr>
              <m:t>0.2</m:t>
            </m:r>
          </m:sub>
        </m:sSub>
        <m:r>
          <w:rPr>
            <w:rFonts w:ascii="Cambria Math" w:hAnsi="Cambria Math"/>
          </w:rPr>
          <m:t>+1.5</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p>
          <m:sSupPr>
            <m:ctrlPr>
              <w:rPr>
                <w:rFonts w:ascii="Cambria Math" w:hAnsi="Cambria Math"/>
                <w:i/>
              </w:rPr>
            </m:ctrlPr>
          </m:sSupPr>
          <m:e>
            <m:r>
              <w:rPr>
                <w:rFonts w:ascii="Cambria Math" w:hAnsi="Cambria Math"/>
              </w:rPr>
              <m:t>0.2H</m:t>
            </m:r>
          </m:e>
          <m:sup>
            <m:r>
              <w:rPr>
                <w:rFonts w:ascii="Cambria Math" w:hAnsi="Cambria Math"/>
              </w:rPr>
              <m:t>+</m:t>
            </m:r>
          </m:sup>
        </m:sSup>
      </m:oMath>
      <w:r w:rsidRPr="00643E01">
        <w:t xml:space="preserve"> for biomass production (21 mol</w:t>
      </w:r>
      <w:r w:rsidRPr="00643E01">
        <w:rPr>
          <w:vertAlign w:val="subscript"/>
        </w:rPr>
        <w:t>e-</w:t>
      </w:r>
      <w:r w:rsidRPr="00643E01">
        <w:t>/mol</w:t>
      </w:r>
      <w:r w:rsidRPr="00643E01">
        <w:rPr>
          <w:vertAlign w:val="subscript"/>
        </w:rPr>
        <w:t>Nbiomass</w:t>
      </w:r>
      <w:r w:rsidRPr="00643E01">
        <w:t xml:space="preserve">) </w:t>
      </w:r>
      <w:r w:rsidRPr="00643E01">
        <w:fldChar w:fldCharType="begin"/>
      </w:r>
      <w:r w:rsidRPr="00643E01">
        <w:instrText xml:space="preserve"> ADDIN ZOTERO_ITEM CSL_CITATION {"citationID":"YEdu7uEV","properties":{"formattedCitation":"(Wresta et al., 2021)","plainCitation":"(Wresta et al., 2021)","noteIndex":0},"citationItems":[{"id":709,"uris":["http://zotero.org/users/local/ahqjqVuV/items/CY2G88R9"],"itemData":{"id":709,"type":"article-journal","abstract":"Anaerobic digestion plays an important role in the gastrointestinal tract and in organic waste treatment. Thermodynamic analysis based on the reaction Gibbs free energy can be used to predict the favorability of some reactions occurring during anaerobic digestion. In this study, we used a thermodynamic approach to evaluating reactions and stoichiometric coefficients of the anaerobic process of in vitro rumen microbiota. The favorability of glucose, butyrate, propionate, and hydrogen utilizations was analyzed by calculating the Gibbs free energy change of each reaction. A previously published Gibbs free energy dissipation method was also used to calculate stoichiometric coefficients of the total metabolism reaction of glucose and hydrogen utilization. For glucose utilization in which the metabolism follows several different pathways, the fraction of glucose following each pathway is estimated by considering the number of electron transfer attributed throughout the catabolism reaction. Glucose utilization always occurs in the system, and the syntrophic correlation among butyrate, propionate, and hydrogen utilizations run well with propionate utilization following the alternative pathway that yields lower hydrogen. The approach applied in this research significantly reduces the stoichiometric coefficients that must be predicted in kinetic modeling. To verify the calculation result, the yield coefficients obtained were then applied in the previous mechanistic model of in vitro rumen microbiota, and the results were compared to the experimental data from literature.","container-title":"Engineering Reports","DOI":"10.1002/eng2.12347","ISSN":"2577-8196","issue":"6","language":"en","note":"_eprint: https://onlinelibrary.wiley.com/doi/pdf/10.1002/eng2.12347","page":"e12347","source":"Wiley Online Library","title":"Thermodynamic approach to estimating reactions and stoichiometric coefficients of anaerobic glucose and hydrogen utilization","volume":"3","author":[{"family":"Wresta","given":"Arini"},{"family":"Widyarani","given":"Rani"},{"family":"Boopathy","given":"Ramaraj"},{"family":"Setiadi","given":"Tjandra"}],"issued":{"date-parts":[["2021"]]}}}],"schema":"https://github.com/citation-style-language/schema/raw/master/csl-citation.json"} </w:instrText>
      </w:r>
      <w:r w:rsidRPr="00643E01">
        <w:fldChar w:fldCharType="separate"/>
      </w:r>
      <w:r w:rsidRPr="00643E01">
        <w:t>(Wresta et al., 2021)</w:t>
      </w:r>
      <w:r w:rsidRPr="00643E01">
        <w:fldChar w:fldCharType="end"/>
      </w:r>
    </w:p>
    <w:p w14:paraId="1B903524" w14:textId="77777777" w:rsidR="00643E01" w:rsidRPr="00643E01" w:rsidRDefault="00643E01" w:rsidP="00643E01">
      <w:pPr>
        <w:pStyle w:val="PCJtext"/>
      </w:pPr>
    </w:p>
    <w:p w14:paraId="06536060" w14:textId="093C2F6C" w:rsidR="00643E01" w:rsidRPr="00643E01" w:rsidRDefault="00643E01" w:rsidP="00643E01">
      <w:pPr>
        <w:pStyle w:val="PCJtext"/>
      </w:pPr>
      <w:r w:rsidRPr="00643E01">
        <w:t>Eq. 2</w:t>
      </w:r>
      <w:r>
        <w:tab/>
      </w:r>
      <m:oMath>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m:t>+</m:t>
        </m:r>
        <m:r>
          <w:rPr>
            <w:rFonts w:ascii="Cambria Math" w:hAnsi="Cambria Math"/>
          </w:rPr>
          <m:t>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→2N</m:t>
        </m:r>
        <m:sSub>
          <m:sSubPr>
            <m:ctrlPr>
              <w:rPr>
                <w:rFonts w:ascii="Cambria Math" w:hAnsi="Cambria Math"/>
                <w:i/>
              </w:rPr>
            </m:ctrlPr>
          </m:sSubPr>
          <m:e>
            <m:r>
              <w:rPr>
                <w:rFonts w:ascii="Cambria Math" w:hAnsi="Cambria Math"/>
              </w:rPr>
              <m:t>H</m:t>
            </m:r>
          </m:e>
          <m:sub>
            <m:r>
              <w:rPr>
                <w:rFonts w:ascii="Cambria Math" w:hAnsi="Cambria Math"/>
              </w:rPr>
              <m:t>3</m:t>
            </m:r>
          </m:sub>
        </m:sSub>
      </m:oMath>
      <w:r w:rsidRPr="00643E01">
        <w:t xml:space="preserve"> for nitrogen fixation (3 mol</w:t>
      </w:r>
      <w:r w:rsidRPr="00643E01">
        <w:rPr>
          <w:vertAlign w:val="subscript"/>
        </w:rPr>
        <w:t>e-</w:t>
      </w:r>
      <w:r w:rsidRPr="00643E01">
        <w:t>/mol</w:t>
      </w:r>
      <w:r w:rsidRPr="00643E01">
        <w:rPr>
          <w:vertAlign w:val="subscript"/>
        </w:rPr>
        <w:t>Nfixé</w:t>
      </w:r>
      <w:r w:rsidRPr="00643E01">
        <w:t xml:space="preserve">) </w:t>
      </w:r>
      <w:r w:rsidRPr="00643E01">
        <w:rPr>
          <w:lang w:val="fr-FR"/>
        </w:rPr>
        <w:fldChar w:fldCharType="begin"/>
      </w:r>
      <w:r w:rsidR="008F59C6">
        <w:instrText xml:space="preserve"> ADDIN ZOTERO_ITEM CSL_CITATION {"citationID":"6sQQInXW","properties":{"formattedCitation":"(Zhang et al., 2022)","plainCitation":"(Zhang et al., 2022)","noteIndex":0},"citationItems":[{"id":566,"uris":["http://zotero.org/users/local/ahqjqVuV/items/WG5R9KMX"],"itemData":{"id":566,"type":"article-journal","abstract":"Microbial electrosynthesis is a promising technology for high-value added products generation from organic and inorganic waste. In this work, autotrophic dual-chamber microbial electrolysis cells (MECs) were set up for N2 fixation at -0.9 V vs Ag/AgCl (sat. KCl) cathodic potential under ambient conditions. Higher NH4+ production yield (average value of 0.35 µmol h-1 cm-2, normalized to cathode surface area) and higher faradaic efficiency (FE, 20.25%) were obtained with intermittent addition of N2 and CO2, while the yield and FE were only 0.018 µmol h-1 cm-2 and 4.21% in the absence of CO2. Furthermore, cyclic voltammograms (CV) explained the bioelectrochemical behavior of N2 reduction was coupled with CO2 reduction in the autotrophic MECs. Microbial community analysis and functional prediction in the cathodic chamber revealed that Xanthobacter and Hydrogenophaga played as producers for N2 and CO2 fixation and Pannonibacter acting as a decomposer for converting organic nitrogen to ammonium. This work not only provided an optional bioelectrocatalytic method for N2 fixation with negative CO2-emissions but also revealed the mechanism of simultaneous fixation of N2 and CO2 via Calvin cycle in autotrophic MECs.","container-title":"Bioelectrochemistry (Amsterdam, Netherlands)","DOI":"10.1016/j.bioelechem.2021.108044","ISSN":"1878-562X","journalAbbreviation":"Bioelectrochemistry","language":"eng","note":"PMID: 34974371","page":"108044","source":"PubMed","title":"Improving electroautotrophic ammonium production from nitrogen gas by simultaneous carbon dioxide fixation in a dual-chamber microbial electrolysis cell","volume":"144","author":[{"family":"Zhang","given":"Lixia"},{"family":"Tian","given":"Chang"},{"family":"Wang","given":"Haoran"},{"family":"Gu","given":"Wenzhi"},{"family":"Zheng","given":"Decong"},{"family":"Cui","given":"Mengyao"},{"family":"Wang","given":"Xiaomei"},{"family":"He","given":"Xiaohong"},{"family":"Zhan","given":"Guoqiang"},{"family":"Li","given":"Daping"}],"issued":{"date-parts":[["2022",4]]}}}],"schema":"https://github.com/citation-style-language/schema/raw/master/csl-citation.json"} </w:instrText>
      </w:r>
      <w:r w:rsidRPr="00643E01">
        <w:rPr>
          <w:lang w:val="fr-FR"/>
        </w:rPr>
        <w:fldChar w:fldCharType="separate"/>
      </w:r>
      <w:r w:rsidR="008F59C6" w:rsidRPr="008F59C6">
        <w:rPr>
          <w:rFonts w:ascii="Calibri" w:hAnsi="Calibri" w:cs="Calibri"/>
        </w:rPr>
        <w:t>(Zhang et al., 2022)</w:t>
      </w:r>
      <w:r w:rsidRPr="00643E01">
        <w:fldChar w:fldCharType="end"/>
      </w:r>
    </w:p>
    <w:p w14:paraId="47A5027D" w14:textId="77777777" w:rsidR="00643E01" w:rsidRPr="00643E01" w:rsidRDefault="00643E01" w:rsidP="00643E01">
      <w:pPr>
        <w:pStyle w:val="PCJtext"/>
      </w:pPr>
    </w:p>
    <w:p w14:paraId="205D576B" w14:textId="77777777" w:rsidR="00643E01" w:rsidRPr="00643E01" w:rsidRDefault="00643E01" w:rsidP="00643E01">
      <w:pPr>
        <w:pStyle w:val="PCJtext"/>
      </w:pPr>
      <w:r>
        <w:t>Eq. 3</w:t>
      </w:r>
      <w:r>
        <w:tab/>
      </w:r>
      <m:oMath>
        <m:r>
          <m:rPr>
            <m:sty m:val="p"/>
          </m:rPr>
          <w:rPr>
            <w:rFonts w:ascii="Cambria Math" w:hAnsi="Cambria Math"/>
          </w:rPr>
          <m:t>2</m:t>
        </m:r>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+4</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r>
          <w:rPr>
            <w:rFonts w:ascii="Cambria Math" w:hAnsi="Cambria Math"/>
          </w:rPr>
          <m:t>CO</m:t>
        </m:r>
        <m:sSup>
          <m:sSupPr>
            <m:ctrlPr>
              <w:rPr>
                <w:rFonts w:ascii="Cambria Math" w:hAnsi="Cambria Math"/>
              </w:rPr>
            </m:ctrlPr>
          </m:sSupPr>
          <m:e>
            <m:r>
              <w:rPr>
                <w:rFonts w:ascii="Cambria Math" w:hAnsi="Cambria Math"/>
              </w:rPr>
              <m:t>O</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m:t>
            </m:r>
          </m:sup>
        </m:sSup>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O</m:t>
        </m:r>
      </m:oMath>
      <w:r w:rsidRPr="00643E01">
        <w:t xml:space="preserve"> for acetate production (8 mol</w:t>
      </w:r>
      <w:r w:rsidRPr="00643E01">
        <w:rPr>
          <w:vertAlign w:val="subscript"/>
        </w:rPr>
        <w:t>e-</w:t>
      </w:r>
      <w:r w:rsidRPr="00643E01">
        <w:t>/mol</w:t>
      </w:r>
      <w:r w:rsidRPr="00643E01">
        <w:rPr>
          <w:vertAlign w:val="subscript"/>
        </w:rPr>
        <w:t>CH3COO-</w:t>
      </w:r>
      <w:r w:rsidRPr="00643E01">
        <w:t xml:space="preserve">) </w:t>
      </w:r>
      <w:r w:rsidRPr="00643E01">
        <w:fldChar w:fldCharType="begin"/>
      </w:r>
      <w:r w:rsidRPr="00643E01">
        <w:instrText xml:space="preserve"> ADDIN ZOTERO_ITEM CSL_CITATION {"citationID":"f2U8R16g","properties":{"formattedCitation":"(Wresta et al., 2021)","plainCitation":"(Wresta et al., 2021)","noteIndex":0},"citationItems":[{"id":709,"uris":["http://zotero.org/users/local/ahqjqVuV/items/CY2G88R9"],"itemData":{"id":709,"type":"article-journal","abstract":"Anaerobic digestion plays an important role in the gastrointestinal tract and in organic waste treatment. Thermodynamic analysis based on the reaction Gibbs free energy can be used to predict the favorability of some reactions occurring during anaerobic digestion. In this study, we used a thermodynamic approach to evaluating reactions and stoichiometric coefficients of the anaerobic process of in vitro rumen microbiota. The favorability of glucose, butyrate, propionate, and hydrogen utilizations was analyzed by calculating the Gibbs free energy change of each reaction. A previously published Gibbs free energy dissipation method was also used to calculate stoichiometric coefficients of the total metabolism reaction of glucose and hydrogen utilization. For glucose utilization in which the metabolism follows several different pathways, the fraction of glucose following each pathway is estimated by considering the number of electron transfer attributed throughout the catabolism reaction. Glucose utilization always occurs in the system, and the syntrophic correlation among butyrate, propionate, and hydrogen utilizations run well with propionate utilization following the alternative pathway that yields lower hydrogen. The approach applied in this research significantly reduces the stoichiometric coefficients that must be predicted in kinetic modeling. To verify the calculation result, the yield coefficients obtained were then applied in the previous mechanistic model of in vitro rumen microbiota, and the results were compared to the experimental data from literature.","container-title":"Engineering Reports","DOI":"10.1002/eng2.12347","ISSN":"2577-8196","issue":"6","language":"en","note":"_eprint: https://onlinelibrary.wiley.com/doi/pdf/10.1002/eng2.12347","page":"e12347","source":"Wiley Online Library","title":"Thermodynamic approach to estimating reactions and stoichiometric coefficients of anaerobic glucose and hydrogen utilization","volume":"3","author":[{"family":"Wresta","given":"Arini"},{"family":"Widyarani","given":"Rani"},{"family":"Boopathy","given":"Ramaraj"},{"family":"Setiadi","given":"Tjandra"}],"issued":{"date-parts":[["2021"]]}}}],"schema":"https://github.com/citation-style-language/schema/raw/master/csl-citation.json"} </w:instrText>
      </w:r>
      <w:r w:rsidRPr="00643E01">
        <w:fldChar w:fldCharType="separate"/>
      </w:r>
      <w:r w:rsidRPr="00643E01">
        <w:t>(Wresta et al., 2021)</w:t>
      </w:r>
      <w:r w:rsidRPr="00643E01">
        <w:fldChar w:fldCharType="end"/>
      </w:r>
    </w:p>
    <w:p w14:paraId="37EF6DD3" w14:textId="77777777" w:rsidR="00643E01" w:rsidRPr="00643E01" w:rsidRDefault="00643E01" w:rsidP="00643E01">
      <w:pPr>
        <w:pStyle w:val="PCJtext"/>
      </w:pPr>
    </w:p>
    <w:p w14:paraId="77551C34" w14:textId="77777777" w:rsidR="00643E01" w:rsidRPr="00643E01" w:rsidRDefault="00643E01" w:rsidP="00643E01">
      <w:pPr>
        <w:pStyle w:val="PCJtext"/>
      </w:pPr>
      <w:r>
        <w:t>Eq. 4</w:t>
      </w:r>
      <w:r>
        <w:tab/>
      </w:r>
      <m:oMath>
        <m:r>
          <w:rPr>
            <w:rFonts w:ascii="Cambria Math" w:hAnsi="Cambria Math"/>
          </w:rPr>
          <m:t>2</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Pr="00643E01">
        <w:t xml:space="preserve"> for H</w:t>
      </w:r>
      <w:r w:rsidRPr="00643E01">
        <w:rPr>
          <w:vertAlign w:val="subscript"/>
        </w:rPr>
        <w:t>2</w:t>
      </w:r>
      <w:r w:rsidRPr="00643E01">
        <w:t xml:space="preserve"> production (2 mol</w:t>
      </w:r>
      <w:r w:rsidRPr="00643E01">
        <w:rPr>
          <w:vertAlign w:val="subscript"/>
        </w:rPr>
        <w:t>e-</w:t>
      </w:r>
      <w:r w:rsidRPr="00643E01">
        <w:t>/mol</w:t>
      </w:r>
      <w:r w:rsidRPr="00643E01">
        <w:rPr>
          <w:vertAlign w:val="subscript"/>
        </w:rPr>
        <w:t>H2</w:t>
      </w:r>
      <w:r w:rsidRPr="00643E01">
        <w:t>)</w:t>
      </w:r>
    </w:p>
    <w:p w14:paraId="1727EDF4" w14:textId="77777777" w:rsidR="00643E01" w:rsidRPr="00643E01" w:rsidRDefault="00643E01" w:rsidP="00643E01">
      <w:pPr>
        <w:pStyle w:val="PCJtext"/>
      </w:pPr>
    </w:p>
    <w:p w14:paraId="71E0753E" w14:textId="77777777" w:rsidR="00643E01" w:rsidRPr="00643E01" w:rsidRDefault="00643E01" w:rsidP="00643E01">
      <w:pPr>
        <w:pStyle w:val="PCJtext"/>
      </w:pPr>
      <w:r>
        <w:t>Eq. 5</w:t>
      </w:r>
      <w:r>
        <w:tab/>
      </w:r>
      <m:oMath>
        <m:sSub>
          <m:sSubPr>
            <m:ctrlPr>
              <w:rPr>
                <w:rFonts w:ascii="Cambria Math" w:hAnsi="Cambria Math"/>
                <w:i/>
              </w:rPr>
            </m:ctrlPr>
          </m:sSubPr>
          <m:e>
            <m:r>
              <w:rPr>
                <w:rFonts w:ascii="Cambria Math" w:hAnsi="Cambria Math"/>
              </w:rPr>
              <m:t>ƞ</m:t>
            </m:r>
          </m:e>
          <m:sub>
            <m:r>
              <w:rPr>
                <w:rFonts w:ascii="Cambria Math" w:hAnsi="Cambria Math"/>
              </w:rPr>
              <m:t>CE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×F×</m:t>
            </m:r>
            <m:sSub>
              <m:sSubPr>
                <m:ctrlPr>
                  <w:rPr>
                    <w:rFonts w:ascii="Cambria Math" w:hAnsi="Cambria Math"/>
                    <w:i/>
                  </w:rPr>
                </m:ctrlPr>
              </m:sSubPr>
              <m:e>
                <m:r>
                  <w:rPr>
                    <w:rFonts w:ascii="Cambria Math" w:hAnsi="Cambria Math"/>
                  </w:rPr>
                  <m:t>n</m:t>
                </m:r>
              </m:e>
              <m:sub>
                <m:r>
                  <w:rPr>
                    <w:rFonts w:ascii="Cambria Math" w:hAnsi="Cambria Math"/>
                  </w:rPr>
                  <m:t>product</m:t>
                </m:r>
              </m:sub>
            </m:sSub>
          </m:num>
          <m:den>
            <m:nary>
              <m:naryPr>
                <m:limLoc m:val="undOvr"/>
                <m:subHide m:val="1"/>
                <m:supHide m:val="1"/>
                <m:ctrlPr>
                  <w:rPr>
                    <w:rFonts w:ascii="Cambria Math" w:hAnsi="Cambria Math"/>
                    <w:i/>
                  </w:rPr>
                </m:ctrlPr>
              </m:naryPr>
              <m:sub/>
              <m:sup/>
              <m:e>
                <m:r>
                  <w:rPr>
                    <w:rFonts w:ascii="Cambria Math" w:hAnsi="Cambria Math"/>
                  </w:rPr>
                  <m:t>i dt</m:t>
                </m:r>
              </m:e>
            </m:nary>
          </m:den>
        </m:f>
      </m:oMath>
    </w:p>
    <w:p w14:paraId="4AFEAFED" w14:textId="3809D4BE" w:rsidR="00643E01" w:rsidRPr="00643E01" w:rsidRDefault="00643E01" w:rsidP="00532170">
      <w:pPr>
        <w:pStyle w:val="PCJtext"/>
      </w:pPr>
      <w:r w:rsidRPr="00C13637">
        <w:rPr>
          <w:highlight w:val="yellow"/>
        </w:rPr>
        <w:t xml:space="preserve">With </w:t>
      </w:r>
      <m:oMath>
        <m:sSub>
          <m:sSubPr>
            <m:ctrlPr>
              <w:rPr>
                <w:rFonts w:ascii="Cambria Math" w:hAnsi="Cambria Math"/>
                <w:i/>
                <w:highlight w:val="yellow"/>
              </w:rPr>
            </m:ctrlPr>
          </m:sSubPr>
          <m:e>
            <m:r>
              <w:rPr>
                <w:rFonts w:ascii="Cambria Math" w:hAnsi="Cambria Math"/>
                <w:highlight w:val="yellow"/>
              </w:rPr>
              <m:t>ƞ</m:t>
            </m:r>
          </m:e>
          <m:sub>
            <m:r>
              <w:rPr>
                <w:rFonts w:ascii="Cambria Math" w:hAnsi="Cambria Math"/>
                <w:highlight w:val="yellow"/>
              </w:rPr>
              <m:t>CE</m:t>
            </m:r>
          </m:sub>
        </m:sSub>
      </m:oMath>
      <w:r w:rsidRPr="00C13637">
        <w:rPr>
          <w:highlight w:val="yellow"/>
        </w:rPr>
        <w:t xml:space="preserve"> the Coulombic efficiency in percentage of elec</w:t>
      </w:r>
      <w:r w:rsidR="00532170" w:rsidRPr="00C13637">
        <w:rPr>
          <w:highlight w:val="yellow"/>
        </w:rPr>
        <w:t>tron recovery in product</w:t>
      </w:r>
      <w:r w:rsidR="00F870B6" w:rsidRPr="00C13637">
        <w:rPr>
          <w:highlight w:val="yellow"/>
        </w:rPr>
        <w:t>s</w:t>
      </w:r>
      <w:r w:rsidRPr="00643E01">
        <w:t xml:space="preserve">, </w:t>
      </w:r>
      <w:r w:rsidRPr="00643E01">
        <w:rPr>
          <w:i/>
        </w:rPr>
        <w:t>n</w:t>
      </w:r>
      <w:r w:rsidRPr="00643E01">
        <w:rPr>
          <w:i/>
          <w:vertAlign w:val="subscript"/>
        </w:rPr>
        <w:t>e</w:t>
      </w:r>
      <w:r w:rsidRPr="00643E01">
        <w:t xml:space="preserve"> moles of electrons per moles of product (mol</w:t>
      </w:r>
      <w:r w:rsidRPr="00643E01">
        <w:rPr>
          <w:vertAlign w:val="subscript"/>
        </w:rPr>
        <w:t>e-</w:t>
      </w:r>
      <w:r w:rsidRPr="00643E01">
        <w:t>/</w:t>
      </w:r>
      <w:r w:rsidRPr="00456C92">
        <w:rPr>
          <w:highlight w:val="yellow"/>
        </w:rPr>
        <w:t>mol</w:t>
      </w:r>
      <w:r w:rsidR="0033226A" w:rsidRPr="00456C92">
        <w:rPr>
          <w:highlight w:val="yellow"/>
          <w:vertAlign w:val="subscript"/>
        </w:rPr>
        <w:t>produc</w:t>
      </w:r>
      <w:r w:rsidRPr="00456C92">
        <w:rPr>
          <w:highlight w:val="yellow"/>
          <w:vertAlign w:val="subscript"/>
        </w:rPr>
        <w:t>t</w:t>
      </w:r>
      <w:r w:rsidRPr="00643E01">
        <w:t xml:space="preserve">) calculated from the stoichiometric equations, </w:t>
      </w:r>
      <w:r w:rsidRPr="00643E01">
        <w:rPr>
          <w:i/>
        </w:rPr>
        <w:t>F</w:t>
      </w:r>
      <w:r w:rsidRPr="00643E01">
        <w:t xml:space="preserve"> the Faraday constant (96485 C.mol</w:t>
      </w:r>
      <w:r w:rsidRPr="00643E01">
        <w:rPr>
          <w:vertAlign w:val="superscript"/>
        </w:rPr>
        <w:t>-1</w:t>
      </w:r>
      <w:r w:rsidRPr="00643E01">
        <w:t xml:space="preserve">), </w:t>
      </w:r>
      <w:r w:rsidRPr="00643E01">
        <w:rPr>
          <w:i/>
        </w:rPr>
        <w:t>n</w:t>
      </w:r>
      <w:r w:rsidRPr="00643E01">
        <w:rPr>
          <w:i/>
          <w:vertAlign w:val="subscript"/>
        </w:rPr>
        <w:t>product</w:t>
      </w:r>
      <w:r w:rsidRPr="00643E01">
        <w:t xml:space="preserve"> the number of mol</w:t>
      </w:r>
      <w:r w:rsidRPr="00643E01">
        <w:rPr>
          <w:vertAlign w:val="subscript"/>
        </w:rPr>
        <w:t>product</w:t>
      </w:r>
      <w:r w:rsidRPr="00643E01">
        <w:t xml:space="preserve"> and </w:t>
      </w:r>
      <w:r w:rsidRPr="00643E01">
        <w:rPr>
          <w:i/>
        </w:rPr>
        <w:t>i</w:t>
      </w:r>
      <w:r w:rsidRPr="00643E01">
        <w:t xml:space="preserve"> the current intensity.</w:t>
      </w:r>
    </w:p>
    <w:p w14:paraId="27B00039" w14:textId="77777777" w:rsidR="00643E01" w:rsidRPr="00643E01" w:rsidRDefault="00643E01" w:rsidP="00023F62">
      <w:pPr>
        <w:pStyle w:val="PCJSubsection"/>
      </w:pPr>
      <w:r w:rsidRPr="00643E01">
        <w:t>Enrichment procedures</w:t>
      </w:r>
    </w:p>
    <w:p w14:paraId="26055E7B" w14:textId="785CF32C" w:rsidR="00643E01" w:rsidRPr="00643E01" w:rsidRDefault="00643E01" w:rsidP="00A06FF1">
      <w:pPr>
        <w:pStyle w:val="PCJtext"/>
      </w:pPr>
      <w:r w:rsidRPr="00643E01">
        <w:t>Two enrichment procedures based on a sequential procedure by enriching separately N</w:t>
      </w:r>
      <w:r w:rsidRPr="00643E01">
        <w:rPr>
          <w:vertAlign w:val="subscript"/>
        </w:rPr>
        <w:t>2</w:t>
      </w:r>
      <w:r w:rsidRPr="00643E01">
        <w:t xml:space="preserve"> fixation and the use of an </w:t>
      </w:r>
      <w:r w:rsidRPr="00456C92">
        <w:rPr>
          <w:highlight w:val="yellow"/>
        </w:rPr>
        <w:t>inorganic e</w:t>
      </w:r>
      <w:r w:rsidR="00810D70" w:rsidRPr="00456C92">
        <w:rPr>
          <w:highlight w:val="yellow"/>
        </w:rPr>
        <w:t>lectron</w:t>
      </w:r>
      <w:r w:rsidRPr="00456C92">
        <w:rPr>
          <w:highlight w:val="yellow"/>
        </w:rPr>
        <w:t xml:space="preserve"> source</w:t>
      </w:r>
      <w:r w:rsidRPr="00643E01">
        <w:t xml:space="preserve"> were carried out.</w:t>
      </w:r>
      <w:r w:rsidR="00A06FF1" w:rsidRPr="00A06FF1">
        <w:rPr>
          <w:highlight w:val="yellow"/>
        </w:rPr>
        <w:t xml:space="preserve"> </w:t>
      </w:r>
      <w:r w:rsidR="008E52F5" w:rsidRPr="00C13637">
        <w:rPr>
          <w:highlight w:val="yellow"/>
        </w:rPr>
        <w:t>Each soil sample (Forest, Leguminous and Compost) and a mix of all were used as inoculum in one batch of pre-enrichment. Pre-enrichment cultures were then carried out in the same medium as first enrichment step for each procedure (i.e. supplied with organic C for the first procedure and inorganic medium for the second) and for 20 days prior to be used as inoculum in the enrichment procedures. Samples of the pre-enrichment were considered as initial microbial community of the enrichments. Thus, at the end of pre-enrichment, the mixed culture was used to inoculate two bottles of each enrichment and all unmixed soil samples were mixed to inoculate four bottles of each enrichment.</w:t>
      </w:r>
    </w:p>
    <w:p w14:paraId="37064B02" w14:textId="599603EA" w:rsidR="00643E01" w:rsidRPr="00643E01" w:rsidRDefault="00643E01" w:rsidP="00643E01">
      <w:pPr>
        <w:pStyle w:val="PCJtext"/>
      </w:pPr>
      <w:r w:rsidRPr="00C46519">
        <w:rPr>
          <w:highlight w:val="yellow"/>
          <w:u w:val="single"/>
        </w:rPr>
        <w:t>The first enrichment</w:t>
      </w:r>
      <w:r w:rsidR="008E52F5">
        <w:rPr>
          <w:highlight w:val="yellow"/>
          <w:u w:val="single"/>
        </w:rPr>
        <w:t xml:space="preserve"> cultures</w:t>
      </w:r>
      <w:r w:rsidR="00C46519" w:rsidRPr="00C46519">
        <w:rPr>
          <w:highlight w:val="yellow"/>
          <w:u w:val="single"/>
        </w:rPr>
        <w:t>, polarized cathode and non-polarized cathode enrichment</w:t>
      </w:r>
      <w:r w:rsidR="008E52F5">
        <w:rPr>
          <w:highlight w:val="yellow"/>
          <w:u w:val="single"/>
        </w:rPr>
        <w:t>s</w:t>
      </w:r>
      <w:r w:rsidR="00C46519" w:rsidRPr="00C46519">
        <w:rPr>
          <w:highlight w:val="yellow"/>
          <w:u w:val="single"/>
        </w:rPr>
        <w:t xml:space="preserve"> (PCE and nPCE)</w:t>
      </w:r>
      <w:r w:rsidR="00C46519" w:rsidRPr="00C46519">
        <w:rPr>
          <w:highlight w:val="yellow"/>
        </w:rPr>
        <w:t xml:space="preserve"> were</w:t>
      </w:r>
      <w:r w:rsidRPr="00C46519">
        <w:rPr>
          <w:highlight w:val="yellow"/>
        </w:rPr>
        <w:t xml:space="preserve"> performed in three step</w:t>
      </w:r>
      <w:r w:rsidR="00A06FF1">
        <w:rPr>
          <w:highlight w:val="yellow"/>
        </w:rPr>
        <w:t>s</w:t>
      </w:r>
      <w:r w:rsidRPr="00C46519">
        <w:rPr>
          <w:highlight w:val="yellow"/>
        </w:rPr>
        <w:t>:</w:t>
      </w:r>
    </w:p>
    <w:p w14:paraId="077859A8" w14:textId="5212EEE4" w:rsidR="00643E01" w:rsidRPr="00643E01" w:rsidRDefault="00643E01" w:rsidP="00643E01">
      <w:pPr>
        <w:pStyle w:val="PCJtext"/>
      </w:pPr>
      <w:r w:rsidRPr="00643E01">
        <w:t>- The first step was performed in a 120 mL bottle with N-free medium supplemented with organic C source.</w:t>
      </w:r>
      <w:r w:rsidR="007B1215">
        <w:t xml:space="preserve"> </w:t>
      </w:r>
      <w:r w:rsidR="006B19F5" w:rsidRPr="00C13637">
        <w:rPr>
          <w:highlight w:val="yellow"/>
        </w:rPr>
        <w:t>This first step was used to select N</w:t>
      </w:r>
      <w:r w:rsidR="006B19F5" w:rsidRPr="00C13637">
        <w:rPr>
          <w:highlight w:val="yellow"/>
          <w:vertAlign w:val="subscript"/>
        </w:rPr>
        <w:t>2</w:t>
      </w:r>
      <w:r w:rsidR="006B19F5" w:rsidRPr="00C13637">
        <w:rPr>
          <w:highlight w:val="yellow"/>
        </w:rPr>
        <w:t>-fixing bacteria using organic compounds as electron donors.</w:t>
      </w:r>
      <w:r w:rsidR="006B19F5">
        <w:rPr>
          <w:i/>
          <w:sz w:val="22"/>
          <w:szCs w:val="22"/>
          <w:highlight w:val="yellow"/>
        </w:rPr>
        <w:t xml:space="preserve"> </w:t>
      </w:r>
      <w:r w:rsidRPr="00643E01">
        <w:t xml:space="preserve">The headspace was composed of an </w:t>
      </w:r>
      <w:r w:rsidR="00810D70" w:rsidRPr="00456C92">
        <w:rPr>
          <w:highlight w:val="yellow"/>
        </w:rPr>
        <w:t>Ar/</w:t>
      </w:r>
      <w:r w:rsidRPr="00456C92">
        <w:rPr>
          <w:highlight w:val="yellow"/>
        </w:rPr>
        <w:t>O</w:t>
      </w:r>
      <w:r w:rsidRPr="00456C92">
        <w:rPr>
          <w:highlight w:val="yellow"/>
          <w:vertAlign w:val="subscript"/>
        </w:rPr>
        <w:t>2</w:t>
      </w:r>
      <w:r w:rsidRPr="00456C92">
        <w:rPr>
          <w:highlight w:val="yellow"/>
        </w:rPr>
        <w:t>/N</w:t>
      </w:r>
      <w:r w:rsidRPr="00456C92">
        <w:rPr>
          <w:highlight w:val="yellow"/>
          <w:vertAlign w:val="subscript"/>
        </w:rPr>
        <w:t>2</w:t>
      </w:r>
      <w:r w:rsidRPr="00456C92">
        <w:rPr>
          <w:highlight w:val="yellow"/>
        </w:rPr>
        <w:t xml:space="preserve"> mixture (</w:t>
      </w:r>
      <w:r w:rsidR="0072084A" w:rsidRPr="00456C92">
        <w:rPr>
          <w:highlight w:val="yellow"/>
        </w:rPr>
        <w:t>80/</w:t>
      </w:r>
      <w:r w:rsidR="009F23BD">
        <w:rPr>
          <w:highlight w:val="yellow"/>
        </w:rPr>
        <w:t>5</w:t>
      </w:r>
      <w:r w:rsidRPr="00456C92">
        <w:rPr>
          <w:highlight w:val="yellow"/>
        </w:rPr>
        <w:t>/</w:t>
      </w:r>
      <w:r w:rsidR="0072084A" w:rsidRPr="00456C92">
        <w:rPr>
          <w:highlight w:val="yellow"/>
        </w:rPr>
        <w:t>1</w:t>
      </w:r>
      <w:r w:rsidR="009F23BD">
        <w:rPr>
          <w:highlight w:val="yellow"/>
        </w:rPr>
        <w:t>5</w:t>
      </w:r>
      <w:r w:rsidRPr="00456C92">
        <w:rPr>
          <w:highlight w:val="yellow"/>
        </w:rPr>
        <w:t>)</w:t>
      </w:r>
      <w:r w:rsidRPr="00643E01">
        <w:t xml:space="preserve"> at 0.5 bar (absolute pressure). Cultures were carried out in bottles containing 50 mL of liquid and 70 mL of headspace. Subcultures of these </w:t>
      </w:r>
      <w:r w:rsidRPr="00643E01">
        <w:lastRenderedPageBreak/>
        <w:t xml:space="preserve">enrichments were performed every 7 days for 6 weeks. The time between 2 subcultures was then reduced to 3-4 days using 10% of the volume of the previous culture (5mL/50mL). </w:t>
      </w:r>
    </w:p>
    <w:p w14:paraId="2F1431E9" w14:textId="68B870EB" w:rsidR="00643E01" w:rsidRPr="00643E01" w:rsidRDefault="00643E01" w:rsidP="00643E01">
      <w:pPr>
        <w:pStyle w:val="PCJtext"/>
      </w:pPr>
      <w:r w:rsidRPr="00643E01">
        <w:t>- After 55 days of enrichment in 10 successive batches, the</w:t>
      </w:r>
      <w:r w:rsidR="007B1215">
        <w:t xml:space="preserve"> N</w:t>
      </w:r>
      <w:r w:rsidR="007B1215">
        <w:rPr>
          <w:vertAlign w:val="subscript"/>
        </w:rPr>
        <w:t>2</w:t>
      </w:r>
      <w:r w:rsidR="007B1215">
        <w:t>-fixing bacteria</w:t>
      </w:r>
      <w:r w:rsidRPr="00643E01">
        <w:t xml:space="preserve"> enriched cultures were used to inoculate the cathodic chambers of the polarized microbial electrochemical system (Polarized Cathode Enrichment, PCE) and the non-polarized microbial electrochemical system (non-Polarized Cathode Enrichment nPCE).</w:t>
      </w:r>
      <w:r w:rsidR="00242835">
        <w:t xml:space="preserve"> </w:t>
      </w:r>
      <w:r w:rsidRPr="00643E01">
        <w:t>The same inorganic medium supplemented with 10% of the organic C source was fed each week to start the enrichment of autotrophic bacteria</w:t>
      </w:r>
      <w:r w:rsidR="006B19F5">
        <w:t>.</w:t>
      </w:r>
      <w:r w:rsidR="006B19F5" w:rsidRPr="006B19F5">
        <w:rPr>
          <w:i/>
          <w:sz w:val="22"/>
          <w:szCs w:val="22"/>
          <w:highlight w:val="yellow"/>
        </w:rPr>
        <w:t xml:space="preserve"> </w:t>
      </w:r>
      <w:r w:rsidR="006B19F5" w:rsidRPr="00C13637">
        <w:rPr>
          <w:highlight w:val="yellow"/>
        </w:rPr>
        <w:t>Inoculation of the cathode in presence of organic C sources was made to favor bacterial growth.</w:t>
      </w:r>
      <w:r w:rsidR="00C767BF" w:rsidRPr="00C13637">
        <w:t xml:space="preserve"> </w:t>
      </w:r>
      <w:r w:rsidRPr="00643E01">
        <w:t>80% of the medium was renewed every second week to promote biofilm growth on the cathode. Headspace composition was monitored by GC and flushed with N</w:t>
      </w:r>
      <w:r w:rsidRPr="00643E01">
        <w:rPr>
          <w:vertAlign w:val="subscript"/>
        </w:rPr>
        <w:t>2</w:t>
      </w:r>
      <w:r w:rsidRPr="00643E01">
        <w:t xml:space="preserve"> if pO</w:t>
      </w:r>
      <w:r w:rsidRPr="00643E01">
        <w:rPr>
          <w:vertAlign w:val="subscript"/>
        </w:rPr>
        <w:t>2</w:t>
      </w:r>
      <w:r w:rsidRPr="00643E01">
        <w:t xml:space="preserve"> exceeded 10% of the gas volume. Organic C supply was stopped when a significant current density was measured in the polarized systems with regard to the controls. </w:t>
      </w:r>
    </w:p>
    <w:p w14:paraId="34CB941B" w14:textId="7041CBC8" w:rsidR="00643E01" w:rsidRPr="00C13637" w:rsidRDefault="00643E01" w:rsidP="00C13637">
      <w:pPr>
        <w:pStyle w:val="PCJtext"/>
        <w:rPr>
          <w:i/>
          <w:highlight w:val="yellow"/>
        </w:rPr>
      </w:pPr>
      <w:r w:rsidRPr="00C13637">
        <w:t>- In the third and final enrichment step, CO</w:t>
      </w:r>
      <w:r w:rsidRPr="00C13637">
        <w:rPr>
          <w:vertAlign w:val="subscript"/>
        </w:rPr>
        <w:t>2</w:t>
      </w:r>
      <w:r w:rsidRPr="00C13637">
        <w:t xml:space="preserve"> was used as sole carbon source</w:t>
      </w:r>
      <w:r w:rsidR="00422AF7" w:rsidRPr="00C13637">
        <w:t xml:space="preserve"> </w:t>
      </w:r>
      <w:r w:rsidR="00422AF7" w:rsidRPr="00C13637">
        <w:rPr>
          <w:highlight w:val="yellow"/>
        </w:rPr>
        <w:t xml:space="preserve">as presented in </w:t>
      </w:r>
      <w:r w:rsidR="009F23BD" w:rsidRPr="00C13637">
        <w:rPr>
          <w:highlight w:val="yellow"/>
        </w:rPr>
        <w:fldChar w:fldCharType="begin"/>
      </w:r>
      <w:r w:rsidR="009F23BD" w:rsidRPr="00C13637">
        <w:rPr>
          <w:highlight w:val="yellow"/>
        </w:rPr>
        <w:instrText xml:space="preserve"> REF _Ref135408307 \h </w:instrText>
      </w:r>
      <w:r w:rsidR="006B19F5" w:rsidRPr="00C13637">
        <w:rPr>
          <w:highlight w:val="yellow"/>
        </w:rPr>
        <w:instrText xml:space="preserve"> \* MERGEFORMAT </w:instrText>
      </w:r>
      <w:r w:rsidR="009F23BD" w:rsidRPr="00C13637">
        <w:rPr>
          <w:highlight w:val="yellow"/>
        </w:rPr>
      </w:r>
      <w:r w:rsidR="009F23BD" w:rsidRPr="00C13637">
        <w:rPr>
          <w:highlight w:val="yellow"/>
        </w:rPr>
        <w:fldChar w:fldCharType="separate"/>
      </w:r>
      <w:r w:rsidR="00C13637">
        <w:rPr>
          <w:highlight w:val="yellow"/>
        </w:rPr>
        <w:t>F</w:t>
      </w:r>
      <w:r w:rsidR="007C15C3" w:rsidRPr="00C13637">
        <w:rPr>
          <w:highlight w:val="yellow"/>
        </w:rPr>
        <w:t>igure 1</w:t>
      </w:r>
      <w:r w:rsidR="009F23BD" w:rsidRPr="00C13637">
        <w:rPr>
          <w:highlight w:val="yellow"/>
        </w:rPr>
        <w:fldChar w:fldCharType="end"/>
      </w:r>
      <w:r w:rsidRPr="00C13637">
        <w:rPr>
          <w:highlight w:val="yellow"/>
        </w:rPr>
        <w:t xml:space="preserve">. </w:t>
      </w:r>
      <w:r w:rsidR="006B19F5" w:rsidRPr="00C13637">
        <w:rPr>
          <w:highlight w:val="yellow"/>
        </w:rPr>
        <w:t>Organic C sources were then removed and the cathode was used as sole electron donor in reactor. Here, only bacteria able to use cathode as electron source by direct interaction or indirect with H</w:t>
      </w:r>
      <w:r w:rsidR="006B19F5" w:rsidRPr="00C13637">
        <w:rPr>
          <w:highlight w:val="yellow"/>
          <w:vertAlign w:val="subscript"/>
        </w:rPr>
        <w:t>2</w:t>
      </w:r>
      <w:r w:rsidR="006B19F5" w:rsidRPr="00C13637">
        <w:rPr>
          <w:highlight w:val="yellow"/>
        </w:rPr>
        <w:t xml:space="preserve"> were able to grow.</w:t>
      </w:r>
      <w:r w:rsidR="006B19F5">
        <w:rPr>
          <w:i/>
          <w:highlight w:val="yellow"/>
        </w:rPr>
        <w:t xml:space="preserve"> </w:t>
      </w:r>
      <w:r w:rsidRPr="00242835">
        <w:t>A</w:t>
      </w:r>
      <w:r w:rsidRPr="00643E01">
        <w:t xml:space="preserve"> 80/20 (v:v) CO</w:t>
      </w:r>
      <w:r w:rsidRPr="00643E01">
        <w:rPr>
          <w:vertAlign w:val="subscript"/>
        </w:rPr>
        <w:t>2</w:t>
      </w:r>
      <w:r w:rsidRPr="00643E01">
        <w:t>/N</w:t>
      </w:r>
      <w:r w:rsidRPr="00643E01">
        <w:rPr>
          <w:vertAlign w:val="subscript"/>
        </w:rPr>
        <w:t>2</w:t>
      </w:r>
      <w:r w:rsidRPr="00643E01">
        <w:t xml:space="preserve"> atmosphere was set up in the headspace with trace amounts of O</w:t>
      </w:r>
      <w:r w:rsidRPr="00643E01">
        <w:rPr>
          <w:vertAlign w:val="subscript"/>
        </w:rPr>
        <w:t>2</w:t>
      </w:r>
      <w:r w:rsidRPr="00643E01">
        <w:t xml:space="preserve"> (&lt; 5%). The medium was replaced every 15-30 days. The gas recycling vessel was filled with CO</w:t>
      </w:r>
      <w:r w:rsidRPr="00643E01">
        <w:rPr>
          <w:vertAlign w:val="subscript"/>
        </w:rPr>
        <w:t>2</w:t>
      </w:r>
      <w:r w:rsidRPr="00643E01">
        <w:t xml:space="preserve"> and was replaced with a new one when O</w:t>
      </w:r>
      <w:r w:rsidRPr="00643E01">
        <w:rPr>
          <w:vertAlign w:val="subscript"/>
        </w:rPr>
        <w:t>2</w:t>
      </w:r>
      <w:r w:rsidRPr="00643E01">
        <w:t xml:space="preserve"> exceeded 5% of the volume due to gas volume depletion. The nPCE controls were operated in the same conditions as the polarized systems but without monitoring the current density. The only available </w:t>
      </w:r>
      <w:r w:rsidRPr="00C13637">
        <w:rPr>
          <w:highlight w:val="yellow"/>
        </w:rPr>
        <w:t>e</w:t>
      </w:r>
      <w:r w:rsidR="00A573BE" w:rsidRPr="00C13637">
        <w:rPr>
          <w:highlight w:val="yellow"/>
        </w:rPr>
        <w:t>lectron</w:t>
      </w:r>
      <w:r w:rsidRPr="00643E01">
        <w:t xml:space="preserve"> source in the nPCE controls was the organic C fed at the beginning of the enrichment.</w:t>
      </w:r>
    </w:p>
    <w:p w14:paraId="2C25218F" w14:textId="76BE62E5" w:rsidR="00340F32" w:rsidRPr="00340F32" w:rsidRDefault="00643E01" w:rsidP="00BE6B8E">
      <w:pPr>
        <w:pStyle w:val="PCJtext"/>
      </w:pPr>
      <w:r w:rsidRPr="00C13637">
        <w:rPr>
          <w:highlight w:val="yellow"/>
        </w:rPr>
        <w:t xml:space="preserve">In </w:t>
      </w:r>
      <w:r w:rsidRPr="00C13637">
        <w:rPr>
          <w:highlight w:val="yellow"/>
          <w:u w:val="single"/>
        </w:rPr>
        <w:t>the second enrichment method</w:t>
      </w:r>
      <w:r w:rsidR="00242835" w:rsidRPr="00C46519">
        <w:rPr>
          <w:highlight w:val="yellow"/>
          <w:u w:val="single"/>
        </w:rPr>
        <w:t>,</w:t>
      </w:r>
      <w:r w:rsidR="00C46519" w:rsidRPr="00C46519">
        <w:rPr>
          <w:highlight w:val="yellow"/>
          <w:u w:val="single"/>
        </w:rPr>
        <w:t xml:space="preserve"> the H</w:t>
      </w:r>
      <w:r w:rsidR="00C46519" w:rsidRPr="00C46519">
        <w:rPr>
          <w:highlight w:val="yellow"/>
          <w:u w:val="single"/>
          <w:vertAlign w:val="subscript"/>
        </w:rPr>
        <w:t>2</w:t>
      </w:r>
      <w:r w:rsidR="00C46519" w:rsidRPr="00C46519">
        <w:rPr>
          <w:highlight w:val="yellow"/>
          <w:u w:val="single"/>
        </w:rPr>
        <w:t>-fed enrichment</w:t>
      </w:r>
      <w:r w:rsidR="006032B8">
        <w:rPr>
          <w:highlight w:val="yellow"/>
          <w:u w:val="single"/>
        </w:rPr>
        <w:t xml:space="preserve"> (H</w:t>
      </w:r>
      <w:r w:rsidR="006032B8" w:rsidRPr="00456C92">
        <w:rPr>
          <w:highlight w:val="yellow"/>
          <w:u w:val="single"/>
          <w:vertAlign w:val="subscript"/>
        </w:rPr>
        <w:t>2</w:t>
      </w:r>
      <w:r w:rsidR="006032B8">
        <w:rPr>
          <w:highlight w:val="yellow"/>
          <w:u w:val="single"/>
        </w:rPr>
        <w:t>E)</w:t>
      </w:r>
      <w:r w:rsidR="00C46519">
        <w:rPr>
          <w:highlight w:val="yellow"/>
        </w:rPr>
        <w:t>,</w:t>
      </w:r>
      <w:r w:rsidR="00242835" w:rsidRPr="00242835">
        <w:rPr>
          <w:highlight w:val="yellow"/>
        </w:rPr>
        <w:t xml:space="preserve"> </w:t>
      </w:r>
      <w:r w:rsidRPr="00242835">
        <w:rPr>
          <w:highlight w:val="yellow"/>
        </w:rPr>
        <w:t>autotrophic bacteria were enriched in inorganic medium supplemented with H</w:t>
      </w:r>
      <w:r w:rsidRPr="00242835">
        <w:rPr>
          <w:highlight w:val="yellow"/>
          <w:vertAlign w:val="subscript"/>
        </w:rPr>
        <w:t>2</w:t>
      </w:r>
      <w:r w:rsidRPr="00242835">
        <w:rPr>
          <w:highlight w:val="yellow"/>
        </w:rPr>
        <w:t xml:space="preserve"> as sole e</w:t>
      </w:r>
      <w:r w:rsidR="00242835">
        <w:rPr>
          <w:highlight w:val="yellow"/>
        </w:rPr>
        <w:t>lectron</w:t>
      </w:r>
      <w:r w:rsidRPr="00242835">
        <w:rPr>
          <w:highlight w:val="yellow"/>
        </w:rPr>
        <w:t xml:space="preserve"> source</w:t>
      </w:r>
      <w:r w:rsidRPr="00643E01">
        <w:t>. These enrichments on H</w:t>
      </w:r>
      <w:r w:rsidRPr="00643E01">
        <w:rPr>
          <w:vertAlign w:val="subscript"/>
        </w:rPr>
        <w:t>2</w:t>
      </w:r>
      <w:r w:rsidRPr="00643E01">
        <w:t xml:space="preserve"> were obtained by pre-enriching in strict autotrophic bacteria using 50 ml of inorganic medium in a 120 ml bottle. The headspace consisted of a mixture of 75/15/8/2 (v:v:v:v) H</w:t>
      </w:r>
      <w:r w:rsidRPr="00643E01">
        <w:rPr>
          <w:vertAlign w:val="subscript"/>
        </w:rPr>
        <w:t>2</w:t>
      </w:r>
      <w:r w:rsidRPr="00643E01">
        <w:t>/CO</w:t>
      </w:r>
      <w:r w:rsidRPr="00643E01">
        <w:rPr>
          <w:vertAlign w:val="subscript"/>
        </w:rPr>
        <w:t>2</w:t>
      </w:r>
      <w:r w:rsidRPr="00643E01">
        <w:t>/N</w:t>
      </w:r>
      <w:r w:rsidRPr="00643E01">
        <w:rPr>
          <w:vertAlign w:val="subscript"/>
        </w:rPr>
        <w:t>2</w:t>
      </w:r>
      <w:r w:rsidRPr="00643E01">
        <w:t>/O</w:t>
      </w:r>
      <w:r w:rsidRPr="00643E01">
        <w:rPr>
          <w:vertAlign w:val="subscript"/>
        </w:rPr>
        <w:t>2</w:t>
      </w:r>
      <w:r w:rsidRPr="00643E01">
        <w:t xml:space="preserve"> at an initial pressure of 1.5 bar (absolute). Two two-weeks batches (30 days) were performed with NH</w:t>
      </w:r>
      <w:r w:rsidRPr="00643E01">
        <w:rPr>
          <w:vertAlign w:val="subscript"/>
        </w:rPr>
        <w:t>4</w:t>
      </w:r>
      <w:r w:rsidRPr="00643E01">
        <w:t>Cl (1g/L) as nitrogen source in the first stage of this enrichment</w:t>
      </w:r>
      <w:r w:rsidR="00422AF7" w:rsidRPr="00340F32">
        <w:t xml:space="preserve"> </w:t>
      </w:r>
      <w:r w:rsidR="00422AF7" w:rsidRPr="00456C92">
        <w:rPr>
          <w:highlight w:val="yellow"/>
        </w:rPr>
        <w:t xml:space="preserve">as seen in </w:t>
      </w:r>
      <w:r w:rsidR="009F23BD">
        <w:rPr>
          <w:highlight w:val="yellow"/>
        </w:rPr>
        <w:fldChar w:fldCharType="begin"/>
      </w:r>
      <w:r w:rsidR="009F23BD">
        <w:rPr>
          <w:highlight w:val="yellow"/>
        </w:rPr>
        <w:instrText xml:space="preserve"> REF _Ref135408307 \h </w:instrText>
      </w:r>
      <w:r w:rsidR="009F23BD">
        <w:rPr>
          <w:highlight w:val="yellow"/>
        </w:rPr>
      </w:r>
      <w:r w:rsidR="009F23BD">
        <w:rPr>
          <w:highlight w:val="yellow"/>
        </w:rPr>
        <w:fldChar w:fldCharType="separate"/>
      </w:r>
      <w:r w:rsidR="004113F2">
        <w:rPr>
          <w:highlight w:val="yellow"/>
        </w:rPr>
        <w:t>F</w:t>
      </w:r>
      <w:r w:rsidR="009F23BD" w:rsidRPr="00456C92">
        <w:rPr>
          <w:highlight w:val="yellow"/>
        </w:rPr>
        <w:t xml:space="preserve">igure </w:t>
      </w:r>
      <w:r w:rsidR="009F23BD">
        <w:rPr>
          <w:highlight w:val="yellow"/>
        </w:rPr>
        <w:t>1</w:t>
      </w:r>
      <w:r w:rsidR="009F23BD">
        <w:rPr>
          <w:highlight w:val="yellow"/>
        </w:rPr>
        <w:fldChar w:fldCharType="end"/>
      </w:r>
      <w:r w:rsidRPr="00456C92">
        <w:rPr>
          <w:highlight w:val="yellow"/>
        </w:rPr>
        <w:t>.</w:t>
      </w:r>
      <w:r w:rsidRPr="00340F32">
        <w:t xml:space="preserve"> </w:t>
      </w:r>
      <w:r w:rsidRPr="00643E01">
        <w:t>This nitrogen source was then replaced by N</w:t>
      </w:r>
      <w:r w:rsidRPr="00643E01">
        <w:rPr>
          <w:vertAlign w:val="subscript"/>
        </w:rPr>
        <w:t>2</w:t>
      </w:r>
      <w:r w:rsidRPr="00643E01">
        <w:t xml:space="preserve"> as only N source to enrich N</w:t>
      </w:r>
      <w:r w:rsidRPr="00643E01">
        <w:rPr>
          <w:vertAlign w:val="subscript"/>
        </w:rPr>
        <w:t>2</w:t>
      </w:r>
      <w:r w:rsidRPr="00643E01">
        <w:t>-fixing bacteria in the second stage of enrichment. Centrifugation (10min, 7500 RPM, ~7500g) of 80% of the initial medium (40mL) was done at each subculture every 15-20 days. The pellets obtained after centrifugation were suspended in 5mL of sterile medium before being used for subculturing.</w:t>
      </w:r>
      <w:r w:rsidR="00BE6B8E">
        <w:t xml:space="preserve"> </w:t>
      </w:r>
      <w:r w:rsidR="00340F32" w:rsidRPr="00456C92">
        <w:rPr>
          <w:highlight w:val="yellow"/>
        </w:rPr>
        <w:fldChar w:fldCharType="begin"/>
      </w:r>
      <w:r w:rsidR="00340F32" w:rsidRPr="00456C92">
        <w:rPr>
          <w:highlight w:val="yellow"/>
        </w:rPr>
        <w:instrText xml:space="preserve"> REF _Ref135408399 \h </w:instrText>
      </w:r>
      <w:r w:rsidR="00340F32">
        <w:rPr>
          <w:highlight w:val="yellow"/>
        </w:rPr>
        <w:instrText xml:space="preserve"> \* MERGEFORMAT </w:instrText>
      </w:r>
      <w:r w:rsidR="00340F32" w:rsidRPr="00456C92">
        <w:rPr>
          <w:highlight w:val="yellow"/>
        </w:rPr>
      </w:r>
      <w:r w:rsidR="00340F32" w:rsidRPr="00456C92">
        <w:rPr>
          <w:highlight w:val="yellow"/>
        </w:rPr>
        <w:fldChar w:fldCharType="separate"/>
      </w:r>
      <w:r w:rsidR="00340F32" w:rsidRPr="00456C92">
        <w:rPr>
          <w:highlight w:val="yellow"/>
        </w:rPr>
        <w:t>Table 1</w:t>
      </w:r>
      <w:r w:rsidR="00340F32" w:rsidRPr="00456C92">
        <w:rPr>
          <w:highlight w:val="yellow"/>
        </w:rPr>
        <w:fldChar w:fldCharType="end"/>
      </w:r>
      <w:r w:rsidR="00340F32" w:rsidRPr="00456C92">
        <w:rPr>
          <w:highlight w:val="yellow"/>
        </w:rPr>
        <w:t xml:space="preserve"> presents a summary of the different procedures used.</w:t>
      </w:r>
    </w:p>
    <w:p w14:paraId="4612FB08" w14:textId="3609E33B" w:rsidR="00CE05E1" w:rsidRPr="00C13637" w:rsidRDefault="008B3FF9" w:rsidP="00C13637">
      <w:pPr>
        <w:pStyle w:val="PCJtablelegend"/>
        <w:rPr>
          <w:highlight w:val="yellow"/>
        </w:rPr>
      </w:pPr>
      <w:bookmarkStart w:id="3" w:name="_Ref135408399"/>
      <w:r w:rsidRPr="00C13637">
        <w:rPr>
          <w:b/>
          <w:highlight w:val="yellow"/>
        </w:rPr>
        <w:t xml:space="preserve">Table </w:t>
      </w:r>
      <w:r w:rsidRPr="00C13637">
        <w:rPr>
          <w:b/>
          <w:highlight w:val="yellow"/>
        </w:rPr>
        <w:fldChar w:fldCharType="begin"/>
      </w:r>
      <w:r w:rsidRPr="00C13637">
        <w:rPr>
          <w:b/>
          <w:highlight w:val="yellow"/>
        </w:rPr>
        <w:instrText xml:space="preserve"> SEQ Table \* ARABIC </w:instrText>
      </w:r>
      <w:r w:rsidRPr="00C13637">
        <w:rPr>
          <w:b/>
          <w:highlight w:val="yellow"/>
        </w:rPr>
        <w:fldChar w:fldCharType="separate"/>
      </w:r>
      <w:r w:rsidRPr="00C13637">
        <w:rPr>
          <w:b/>
          <w:highlight w:val="yellow"/>
        </w:rPr>
        <w:t>1</w:t>
      </w:r>
      <w:r w:rsidRPr="00C13637">
        <w:rPr>
          <w:b/>
          <w:highlight w:val="yellow"/>
        </w:rPr>
        <w:fldChar w:fldCharType="end"/>
      </w:r>
      <w:bookmarkEnd w:id="3"/>
      <w:r w:rsidR="009F23BD" w:rsidRPr="00C13637">
        <w:rPr>
          <w:highlight w:val="yellow"/>
        </w:rPr>
        <w:t xml:space="preserve"> -</w:t>
      </w:r>
      <w:r w:rsidRPr="00C13637">
        <w:rPr>
          <w:highlight w:val="yellow"/>
        </w:rPr>
        <w:t xml:space="preserve"> Comparison between each enrichments procedure used in this work.</w:t>
      </w:r>
    </w:p>
    <w:tbl>
      <w:tblPr>
        <w:tblStyle w:val="Grilledutableau"/>
        <w:tblW w:w="0" w:type="auto"/>
        <w:jc w:val="center"/>
        <w:tblLook w:val="04A0" w:firstRow="1" w:lastRow="0" w:firstColumn="1" w:lastColumn="0" w:noHBand="0" w:noVBand="1"/>
      </w:tblPr>
      <w:tblGrid>
        <w:gridCol w:w="2250"/>
        <w:gridCol w:w="2254"/>
        <w:gridCol w:w="2254"/>
        <w:gridCol w:w="2253"/>
      </w:tblGrid>
      <w:tr w:rsidR="00BE6B8E" w:rsidRPr="00540CAC" w14:paraId="3318EC07" w14:textId="77777777" w:rsidTr="00456C92">
        <w:trPr>
          <w:jc w:val="center"/>
        </w:trPr>
        <w:tc>
          <w:tcPr>
            <w:tcW w:w="2349" w:type="dxa"/>
          </w:tcPr>
          <w:p w14:paraId="5013A463" w14:textId="77777777" w:rsidR="00BE6B8E" w:rsidRPr="00DD587B" w:rsidRDefault="00BE6B8E" w:rsidP="00127A82">
            <w:pPr>
              <w:pStyle w:val="PCJTable"/>
              <w:rPr>
                <w:highlight w:val="yellow"/>
              </w:rPr>
            </w:pPr>
          </w:p>
        </w:tc>
        <w:tc>
          <w:tcPr>
            <w:tcW w:w="2349" w:type="dxa"/>
          </w:tcPr>
          <w:p w14:paraId="1C964EAC" w14:textId="77777777" w:rsidR="00BE6B8E" w:rsidRPr="00DD587B" w:rsidRDefault="00BE6B8E" w:rsidP="00127A82">
            <w:pPr>
              <w:pStyle w:val="PCJTable"/>
              <w:rPr>
                <w:highlight w:val="yellow"/>
              </w:rPr>
            </w:pPr>
            <w:r w:rsidRPr="00DD587B">
              <w:rPr>
                <w:highlight w:val="yellow"/>
              </w:rPr>
              <w:t>PCE</w:t>
            </w:r>
          </w:p>
        </w:tc>
        <w:tc>
          <w:tcPr>
            <w:tcW w:w="2349" w:type="dxa"/>
          </w:tcPr>
          <w:p w14:paraId="4D54D4C1" w14:textId="77777777" w:rsidR="00BE6B8E" w:rsidRPr="00DD587B" w:rsidRDefault="00BE6B8E" w:rsidP="00127A82">
            <w:pPr>
              <w:pStyle w:val="PCJTable"/>
              <w:rPr>
                <w:highlight w:val="yellow"/>
              </w:rPr>
            </w:pPr>
            <w:r w:rsidRPr="00DD587B">
              <w:rPr>
                <w:highlight w:val="yellow"/>
              </w:rPr>
              <w:t>nPCE</w:t>
            </w:r>
          </w:p>
        </w:tc>
        <w:tc>
          <w:tcPr>
            <w:tcW w:w="2349" w:type="dxa"/>
          </w:tcPr>
          <w:p w14:paraId="4A72D9C3" w14:textId="77777777" w:rsidR="00BE6B8E" w:rsidRPr="00DD587B" w:rsidRDefault="00BE6B8E" w:rsidP="00127A82">
            <w:pPr>
              <w:pStyle w:val="PCJTable"/>
              <w:rPr>
                <w:highlight w:val="yellow"/>
              </w:rPr>
            </w:pPr>
            <w:r w:rsidRPr="00DD587B">
              <w:rPr>
                <w:highlight w:val="yellow"/>
              </w:rPr>
              <w:t>H</w:t>
            </w:r>
            <w:r w:rsidRPr="00DD587B">
              <w:rPr>
                <w:highlight w:val="yellow"/>
                <w:vertAlign w:val="subscript"/>
              </w:rPr>
              <w:t>2</w:t>
            </w:r>
            <w:r w:rsidRPr="00DD587B">
              <w:rPr>
                <w:highlight w:val="yellow"/>
              </w:rPr>
              <w:t>E</w:t>
            </w:r>
          </w:p>
        </w:tc>
      </w:tr>
      <w:tr w:rsidR="00BE6B8E" w:rsidRPr="00540CAC" w14:paraId="02FD61AB" w14:textId="77777777" w:rsidTr="00456C92">
        <w:trPr>
          <w:jc w:val="center"/>
        </w:trPr>
        <w:tc>
          <w:tcPr>
            <w:tcW w:w="2349" w:type="dxa"/>
          </w:tcPr>
          <w:p w14:paraId="5E238861" w14:textId="77777777" w:rsidR="00BE6B8E" w:rsidRPr="00DD587B" w:rsidRDefault="00BE6B8E" w:rsidP="00127A82">
            <w:pPr>
              <w:pStyle w:val="PCJTable"/>
              <w:rPr>
                <w:highlight w:val="yellow"/>
              </w:rPr>
            </w:pPr>
            <w:r w:rsidRPr="00DD587B">
              <w:rPr>
                <w:highlight w:val="yellow"/>
              </w:rPr>
              <w:t>Enrichment reactor</w:t>
            </w:r>
          </w:p>
        </w:tc>
        <w:tc>
          <w:tcPr>
            <w:tcW w:w="2349" w:type="dxa"/>
          </w:tcPr>
          <w:p w14:paraId="1433E827" w14:textId="77777777" w:rsidR="00BE6B8E" w:rsidRPr="00DD587B" w:rsidRDefault="00BE6B8E" w:rsidP="00127A82">
            <w:pPr>
              <w:pStyle w:val="PCJTable"/>
              <w:rPr>
                <w:highlight w:val="yellow"/>
              </w:rPr>
            </w:pPr>
            <w:r w:rsidRPr="00DD587B">
              <w:rPr>
                <w:highlight w:val="yellow"/>
              </w:rPr>
              <w:t>Bottle then cathodic chamber</w:t>
            </w:r>
          </w:p>
        </w:tc>
        <w:tc>
          <w:tcPr>
            <w:tcW w:w="2349" w:type="dxa"/>
          </w:tcPr>
          <w:p w14:paraId="265DDDC3" w14:textId="77777777" w:rsidR="00BE6B8E" w:rsidRPr="00DD587B" w:rsidRDefault="00BE6B8E" w:rsidP="00127A82">
            <w:pPr>
              <w:pStyle w:val="PCJTable"/>
              <w:rPr>
                <w:highlight w:val="yellow"/>
              </w:rPr>
            </w:pPr>
            <w:r w:rsidRPr="00DD587B">
              <w:rPr>
                <w:highlight w:val="yellow"/>
              </w:rPr>
              <w:t>Bottle then cathodic chamber</w:t>
            </w:r>
          </w:p>
        </w:tc>
        <w:tc>
          <w:tcPr>
            <w:tcW w:w="2349" w:type="dxa"/>
          </w:tcPr>
          <w:p w14:paraId="7A114127" w14:textId="77777777" w:rsidR="00BE6B8E" w:rsidRPr="00DD587B" w:rsidRDefault="00BE6B8E" w:rsidP="00127A82">
            <w:pPr>
              <w:pStyle w:val="PCJTable"/>
              <w:rPr>
                <w:highlight w:val="yellow"/>
              </w:rPr>
            </w:pPr>
            <w:r w:rsidRPr="00DD587B">
              <w:rPr>
                <w:highlight w:val="yellow"/>
              </w:rPr>
              <w:t>Bottle</w:t>
            </w:r>
          </w:p>
        </w:tc>
      </w:tr>
      <w:tr w:rsidR="00BE6B8E" w:rsidRPr="00540CAC" w14:paraId="0727A1FF" w14:textId="77777777" w:rsidTr="00456C92">
        <w:trPr>
          <w:jc w:val="center"/>
        </w:trPr>
        <w:tc>
          <w:tcPr>
            <w:tcW w:w="2349" w:type="dxa"/>
          </w:tcPr>
          <w:p w14:paraId="4D989132" w14:textId="77777777" w:rsidR="00BE6B8E" w:rsidRPr="00DD587B" w:rsidRDefault="00BE6B8E" w:rsidP="00127A82">
            <w:pPr>
              <w:pStyle w:val="PCJTable"/>
              <w:rPr>
                <w:highlight w:val="yellow"/>
              </w:rPr>
            </w:pPr>
            <w:r w:rsidRPr="00DD587B">
              <w:rPr>
                <w:highlight w:val="yellow"/>
              </w:rPr>
              <w:t>Electrode</w:t>
            </w:r>
          </w:p>
        </w:tc>
        <w:tc>
          <w:tcPr>
            <w:tcW w:w="2349" w:type="dxa"/>
          </w:tcPr>
          <w:p w14:paraId="71070E38" w14:textId="77777777" w:rsidR="00BE6B8E" w:rsidRPr="00DD587B" w:rsidRDefault="00BE6B8E" w:rsidP="00127A82">
            <w:pPr>
              <w:pStyle w:val="PCJTable"/>
              <w:rPr>
                <w:highlight w:val="yellow"/>
              </w:rPr>
            </w:pPr>
            <w:r w:rsidRPr="00DD587B">
              <w:rPr>
                <w:highlight w:val="yellow"/>
              </w:rPr>
              <w:t>Yes</w:t>
            </w:r>
          </w:p>
        </w:tc>
        <w:tc>
          <w:tcPr>
            <w:tcW w:w="2349" w:type="dxa"/>
          </w:tcPr>
          <w:p w14:paraId="36B97022" w14:textId="77777777" w:rsidR="00BE6B8E" w:rsidRPr="00DD587B" w:rsidRDefault="00BE6B8E" w:rsidP="00127A82">
            <w:pPr>
              <w:pStyle w:val="PCJTable"/>
              <w:rPr>
                <w:highlight w:val="yellow"/>
              </w:rPr>
            </w:pPr>
            <w:r w:rsidRPr="00DD587B">
              <w:rPr>
                <w:highlight w:val="yellow"/>
              </w:rPr>
              <w:t>Yes</w:t>
            </w:r>
          </w:p>
        </w:tc>
        <w:tc>
          <w:tcPr>
            <w:tcW w:w="2349" w:type="dxa"/>
          </w:tcPr>
          <w:p w14:paraId="030F9083" w14:textId="77777777" w:rsidR="00BE6B8E" w:rsidRPr="00DD587B" w:rsidRDefault="00BE6B8E" w:rsidP="00127A82">
            <w:pPr>
              <w:pStyle w:val="PCJTable"/>
              <w:rPr>
                <w:highlight w:val="yellow"/>
              </w:rPr>
            </w:pPr>
            <w:r w:rsidRPr="00DD587B">
              <w:rPr>
                <w:highlight w:val="yellow"/>
              </w:rPr>
              <w:t>No</w:t>
            </w:r>
          </w:p>
        </w:tc>
      </w:tr>
      <w:tr w:rsidR="00BE6B8E" w:rsidRPr="00540CAC" w14:paraId="3658FC01" w14:textId="77777777" w:rsidTr="00456C92">
        <w:trPr>
          <w:jc w:val="center"/>
        </w:trPr>
        <w:tc>
          <w:tcPr>
            <w:tcW w:w="2349" w:type="dxa"/>
          </w:tcPr>
          <w:p w14:paraId="167E7428" w14:textId="77777777" w:rsidR="00BE6B8E" w:rsidRPr="00DD587B" w:rsidRDefault="00BE6B8E" w:rsidP="00127A82">
            <w:pPr>
              <w:pStyle w:val="PCJTable"/>
              <w:rPr>
                <w:highlight w:val="yellow"/>
              </w:rPr>
            </w:pPr>
            <w:r w:rsidRPr="00DD587B">
              <w:rPr>
                <w:highlight w:val="yellow"/>
              </w:rPr>
              <w:t>Applied potential</w:t>
            </w:r>
          </w:p>
        </w:tc>
        <w:tc>
          <w:tcPr>
            <w:tcW w:w="2349" w:type="dxa"/>
          </w:tcPr>
          <w:p w14:paraId="0C3AD5B4" w14:textId="77777777" w:rsidR="00BE6B8E" w:rsidRPr="00DD587B" w:rsidRDefault="00BE6B8E" w:rsidP="00127A82">
            <w:pPr>
              <w:pStyle w:val="PCJTable"/>
              <w:rPr>
                <w:highlight w:val="yellow"/>
              </w:rPr>
            </w:pPr>
            <w:r w:rsidRPr="00DD587B">
              <w:rPr>
                <w:highlight w:val="yellow"/>
              </w:rPr>
              <w:t>-0,7 V vs SHE</w:t>
            </w:r>
          </w:p>
        </w:tc>
        <w:tc>
          <w:tcPr>
            <w:tcW w:w="2349" w:type="dxa"/>
          </w:tcPr>
          <w:p w14:paraId="482500F1" w14:textId="77777777" w:rsidR="00BE6B8E" w:rsidRPr="00DD587B" w:rsidRDefault="00BE6B8E" w:rsidP="00127A82">
            <w:pPr>
              <w:pStyle w:val="PCJTable"/>
              <w:rPr>
                <w:highlight w:val="yellow"/>
              </w:rPr>
            </w:pPr>
            <w:r w:rsidRPr="00DD587B">
              <w:rPr>
                <w:highlight w:val="yellow"/>
              </w:rPr>
              <w:t>Open circuit voltage</w:t>
            </w:r>
          </w:p>
        </w:tc>
        <w:tc>
          <w:tcPr>
            <w:tcW w:w="2349" w:type="dxa"/>
          </w:tcPr>
          <w:p w14:paraId="4EA1F5A1" w14:textId="77777777" w:rsidR="00BE6B8E" w:rsidRPr="00DD587B" w:rsidRDefault="00BE6B8E" w:rsidP="00127A82">
            <w:pPr>
              <w:pStyle w:val="PCJTable"/>
              <w:rPr>
                <w:highlight w:val="yellow"/>
              </w:rPr>
            </w:pPr>
            <w:r w:rsidRPr="00DD587B">
              <w:rPr>
                <w:highlight w:val="yellow"/>
              </w:rPr>
              <w:t>NA</w:t>
            </w:r>
          </w:p>
        </w:tc>
      </w:tr>
      <w:tr w:rsidR="00BE6B8E" w:rsidRPr="00540CAC" w14:paraId="68EEA47C" w14:textId="77777777" w:rsidTr="00456C92">
        <w:trPr>
          <w:jc w:val="center"/>
        </w:trPr>
        <w:tc>
          <w:tcPr>
            <w:tcW w:w="2349" w:type="dxa"/>
          </w:tcPr>
          <w:p w14:paraId="0EC87607" w14:textId="77777777" w:rsidR="00BE6B8E" w:rsidRPr="00DD587B" w:rsidRDefault="00BE6B8E" w:rsidP="00127A82">
            <w:pPr>
              <w:pStyle w:val="PCJTable"/>
              <w:rPr>
                <w:highlight w:val="yellow"/>
              </w:rPr>
            </w:pPr>
            <w:r w:rsidRPr="00DD587B">
              <w:rPr>
                <w:highlight w:val="yellow"/>
              </w:rPr>
              <w:t>Enrichment step</w:t>
            </w:r>
          </w:p>
        </w:tc>
        <w:tc>
          <w:tcPr>
            <w:tcW w:w="2349" w:type="dxa"/>
          </w:tcPr>
          <w:p w14:paraId="3B649ED8" w14:textId="77777777" w:rsidR="00BE6B8E" w:rsidRPr="00DD587B" w:rsidRDefault="00BE6B8E" w:rsidP="00127A82">
            <w:pPr>
              <w:pStyle w:val="PCJTable"/>
              <w:rPr>
                <w:highlight w:val="yellow"/>
              </w:rPr>
            </w:pPr>
            <w:r w:rsidRPr="00DD587B">
              <w:rPr>
                <w:highlight w:val="yellow"/>
              </w:rPr>
              <w:t>3</w:t>
            </w:r>
            <w:r>
              <w:rPr>
                <w:highlight w:val="yellow"/>
              </w:rPr>
              <w:t xml:space="preserve"> steps</w:t>
            </w:r>
          </w:p>
          <w:p w14:paraId="1E2E9611" w14:textId="77777777" w:rsidR="00BE6B8E" w:rsidRPr="00DD587B" w:rsidRDefault="00BE6B8E" w:rsidP="00127A82">
            <w:pPr>
              <w:pStyle w:val="PCJTable"/>
              <w:rPr>
                <w:highlight w:val="yellow"/>
              </w:rPr>
            </w:pPr>
            <w:r w:rsidRPr="00DD587B">
              <w:rPr>
                <w:highlight w:val="yellow"/>
              </w:rPr>
              <w:t>(1) soil diazotrophic bacteria in bottle</w:t>
            </w:r>
          </w:p>
          <w:p w14:paraId="7C3FDC98" w14:textId="77777777" w:rsidR="00BE6B8E" w:rsidRPr="00DD587B" w:rsidRDefault="00BE6B8E" w:rsidP="00127A82">
            <w:pPr>
              <w:pStyle w:val="PCJTable"/>
              <w:rPr>
                <w:highlight w:val="yellow"/>
              </w:rPr>
            </w:pPr>
            <w:r w:rsidRPr="00DD587B">
              <w:rPr>
                <w:highlight w:val="yellow"/>
              </w:rPr>
              <w:t>(2) diazotrophic bacteria in MEC</w:t>
            </w:r>
          </w:p>
          <w:p w14:paraId="38FEABEE" w14:textId="77777777" w:rsidR="00BE6B8E" w:rsidRPr="00DD587B" w:rsidRDefault="00BE6B8E" w:rsidP="00127A82">
            <w:pPr>
              <w:pStyle w:val="PCJTable"/>
              <w:rPr>
                <w:highlight w:val="yellow"/>
              </w:rPr>
            </w:pPr>
            <w:r w:rsidRPr="00DD587B">
              <w:rPr>
                <w:highlight w:val="yellow"/>
              </w:rPr>
              <w:t>(3) autotrophic diazotrophic bacteria in MEC</w:t>
            </w:r>
          </w:p>
        </w:tc>
        <w:tc>
          <w:tcPr>
            <w:tcW w:w="2349" w:type="dxa"/>
          </w:tcPr>
          <w:p w14:paraId="1D1694EB" w14:textId="77777777" w:rsidR="00BE6B8E" w:rsidRPr="00DD587B" w:rsidRDefault="00BE6B8E" w:rsidP="00127A82">
            <w:pPr>
              <w:pStyle w:val="PCJTable"/>
              <w:rPr>
                <w:highlight w:val="yellow"/>
              </w:rPr>
            </w:pPr>
            <w:r w:rsidRPr="00DD587B">
              <w:rPr>
                <w:highlight w:val="yellow"/>
              </w:rPr>
              <w:t xml:space="preserve">3 </w:t>
            </w:r>
            <w:r>
              <w:rPr>
                <w:highlight w:val="yellow"/>
              </w:rPr>
              <w:t>steps</w:t>
            </w:r>
          </w:p>
          <w:p w14:paraId="065BAB7B" w14:textId="77777777" w:rsidR="00BE6B8E" w:rsidRPr="00DD587B" w:rsidRDefault="00BE6B8E" w:rsidP="00127A82">
            <w:pPr>
              <w:pStyle w:val="PCJTable"/>
              <w:rPr>
                <w:highlight w:val="yellow"/>
              </w:rPr>
            </w:pPr>
            <w:r w:rsidRPr="00DD587B">
              <w:rPr>
                <w:highlight w:val="yellow"/>
              </w:rPr>
              <w:t>(1) soil diazotrophic bacteria in bottle</w:t>
            </w:r>
          </w:p>
          <w:p w14:paraId="05CE3254" w14:textId="77777777" w:rsidR="00BE6B8E" w:rsidRPr="00DD587B" w:rsidRDefault="00BE6B8E" w:rsidP="00127A82">
            <w:pPr>
              <w:pStyle w:val="PCJTable"/>
              <w:rPr>
                <w:highlight w:val="yellow"/>
              </w:rPr>
            </w:pPr>
            <w:r w:rsidRPr="00DD587B">
              <w:rPr>
                <w:highlight w:val="yellow"/>
              </w:rPr>
              <w:t>(2) diazotrophic bacteria in MEC in OCV</w:t>
            </w:r>
          </w:p>
          <w:p w14:paraId="526D6D2C" w14:textId="77777777" w:rsidR="00BE6B8E" w:rsidRPr="00DD587B" w:rsidRDefault="00BE6B8E" w:rsidP="00127A82">
            <w:pPr>
              <w:pStyle w:val="PCJTable"/>
              <w:rPr>
                <w:highlight w:val="yellow"/>
              </w:rPr>
            </w:pPr>
            <w:r w:rsidRPr="00DD587B">
              <w:rPr>
                <w:highlight w:val="yellow"/>
              </w:rPr>
              <w:t xml:space="preserve">(3) </w:t>
            </w:r>
            <w:r>
              <w:rPr>
                <w:highlight w:val="yellow"/>
              </w:rPr>
              <w:t>control without electron sources</w:t>
            </w:r>
          </w:p>
        </w:tc>
        <w:tc>
          <w:tcPr>
            <w:tcW w:w="2349" w:type="dxa"/>
          </w:tcPr>
          <w:p w14:paraId="4B0214B7" w14:textId="77777777" w:rsidR="00BE6B8E" w:rsidRPr="00DD587B" w:rsidRDefault="00BE6B8E" w:rsidP="00127A82">
            <w:pPr>
              <w:pStyle w:val="PCJTable"/>
              <w:rPr>
                <w:highlight w:val="yellow"/>
              </w:rPr>
            </w:pPr>
            <w:r w:rsidRPr="00DD587B">
              <w:rPr>
                <w:highlight w:val="yellow"/>
              </w:rPr>
              <w:t xml:space="preserve">2 </w:t>
            </w:r>
            <w:r>
              <w:rPr>
                <w:highlight w:val="yellow"/>
              </w:rPr>
              <w:t>steps</w:t>
            </w:r>
          </w:p>
          <w:p w14:paraId="29E18141" w14:textId="77777777" w:rsidR="00BE6B8E" w:rsidRPr="00DD587B" w:rsidRDefault="00BE6B8E" w:rsidP="00127A82">
            <w:pPr>
              <w:pStyle w:val="PCJTable"/>
              <w:rPr>
                <w:highlight w:val="yellow"/>
              </w:rPr>
            </w:pPr>
            <w:r w:rsidRPr="00DD587B">
              <w:rPr>
                <w:highlight w:val="yellow"/>
              </w:rPr>
              <w:t>(1) soil autotrophic bacteria in bottle</w:t>
            </w:r>
          </w:p>
          <w:p w14:paraId="4B286D1C" w14:textId="77777777" w:rsidR="00BE6B8E" w:rsidRPr="00DD587B" w:rsidRDefault="00BE6B8E" w:rsidP="00127A82">
            <w:pPr>
              <w:pStyle w:val="PCJTable"/>
              <w:rPr>
                <w:highlight w:val="yellow"/>
              </w:rPr>
            </w:pPr>
            <w:r w:rsidRPr="00DD587B">
              <w:rPr>
                <w:highlight w:val="yellow"/>
              </w:rPr>
              <w:t>(2) autotrophic diazotrophic bacteria in bottle</w:t>
            </w:r>
          </w:p>
        </w:tc>
      </w:tr>
      <w:tr w:rsidR="00BE6B8E" w:rsidRPr="00540CAC" w14:paraId="79876305" w14:textId="77777777" w:rsidTr="00456C92">
        <w:trPr>
          <w:jc w:val="center"/>
        </w:trPr>
        <w:tc>
          <w:tcPr>
            <w:tcW w:w="2349" w:type="dxa"/>
          </w:tcPr>
          <w:p w14:paraId="262916AB" w14:textId="77777777" w:rsidR="00BE6B8E" w:rsidRPr="00DD587B" w:rsidRDefault="00BE6B8E" w:rsidP="00127A82">
            <w:pPr>
              <w:pStyle w:val="PCJTable"/>
              <w:rPr>
                <w:highlight w:val="yellow"/>
              </w:rPr>
            </w:pPr>
            <w:r w:rsidRPr="00DD587B">
              <w:rPr>
                <w:highlight w:val="yellow"/>
              </w:rPr>
              <w:t>Number of Batch</w:t>
            </w:r>
          </w:p>
        </w:tc>
        <w:tc>
          <w:tcPr>
            <w:tcW w:w="2349" w:type="dxa"/>
            <w:vAlign w:val="bottom"/>
          </w:tcPr>
          <w:p w14:paraId="11576DFF" w14:textId="77777777" w:rsidR="00BE6B8E" w:rsidRPr="00DD587B" w:rsidRDefault="00BE6B8E" w:rsidP="00127A82">
            <w:pPr>
              <w:pStyle w:val="PCJTable"/>
              <w:rPr>
                <w:color w:val="000000"/>
              </w:rPr>
            </w:pPr>
            <w:r w:rsidRPr="00DD587B">
              <w:rPr>
                <w:color w:val="000000"/>
              </w:rPr>
              <w:t>(1) 10</w:t>
            </w:r>
          </w:p>
          <w:p w14:paraId="62239B3D" w14:textId="77777777" w:rsidR="00BE6B8E" w:rsidRPr="00DD587B" w:rsidRDefault="00BE6B8E" w:rsidP="00127A82">
            <w:pPr>
              <w:pStyle w:val="PCJTable"/>
              <w:rPr>
                <w:color w:val="000000"/>
              </w:rPr>
            </w:pPr>
            <w:r w:rsidRPr="00DD587B">
              <w:rPr>
                <w:color w:val="000000"/>
              </w:rPr>
              <w:t>(2) 4 medium replacement</w:t>
            </w:r>
          </w:p>
          <w:p w14:paraId="0B075791" w14:textId="77777777" w:rsidR="00BE6B8E" w:rsidRPr="00DD587B" w:rsidRDefault="00BE6B8E" w:rsidP="00127A82">
            <w:pPr>
              <w:pStyle w:val="PCJTable"/>
              <w:rPr>
                <w:highlight w:val="yellow"/>
              </w:rPr>
            </w:pPr>
            <w:r w:rsidRPr="00DD587B">
              <w:rPr>
                <w:color w:val="000000"/>
              </w:rPr>
              <w:t>(3) 14</w:t>
            </w:r>
          </w:p>
        </w:tc>
        <w:tc>
          <w:tcPr>
            <w:tcW w:w="2349" w:type="dxa"/>
            <w:vAlign w:val="bottom"/>
          </w:tcPr>
          <w:p w14:paraId="33B71870" w14:textId="77777777" w:rsidR="00BE6B8E" w:rsidRPr="00DD587B" w:rsidRDefault="00BE6B8E" w:rsidP="00127A82">
            <w:pPr>
              <w:pStyle w:val="PCJTable"/>
              <w:rPr>
                <w:color w:val="000000"/>
              </w:rPr>
            </w:pPr>
            <w:r w:rsidRPr="00DD587B">
              <w:rPr>
                <w:color w:val="000000"/>
              </w:rPr>
              <w:t>(1) 10</w:t>
            </w:r>
          </w:p>
          <w:p w14:paraId="12315476" w14:textId="77777777" w:rsidR="00BE6B8E" w:rsidRPr="00DD587B" w:rsidRDefault="00BE6B8E" w:rsidP="00127A82">
            <w:pPr>
              <w:pStyle w:val="PCJTable"/>
              <w:rPr>
                <w:color w:val="000000"/>
              </w:rPr>
            </w:pPr>
            <w:r w:rsidRPr="00DD587B">
              <w:rPr>
                <w:color w:val="000000"/>
              </w:rPr>
              <w:t>(2) 4 medium replacement</w:t>
            </w:r>
          </w:p>
          <w:p w14:paraId="0981E932" w14:textId="77777777" w:rsidR="00BE6B8E" w:rsidRPr="00DD587B" w:rsidRDefault="00BE6B8E" w:rsidP="00127A82">
            <w:pPr>
              <w:pStyle w:val="PCJTable"/>
              <w:rPr>
                <w:highlight w:val="yellow"/>
              </w:rPr>
            </w:pPr>
            <w:r w:rsidRPr="00DD587B">
              <w:rPr>
                <w:color w:val="000000"/>
              </w:rPr>
              <w:t>(3) 14</w:t>
            </w:r>
          </w:p>
        </w:tc>
        <w:tc>
          <w:tcPr>
            <w:tcW w:w="2349" w:type="dxa"/>
            <w:vAlign w:val="bottom"/>
          </w:tcPr>
          <w:p w14:paraId="57DBCABA" w14:textId="77777777" w:rsidR="00BE6B8E" w:rsidRPr="00DD587B" w:rsidRDefault="00BE6B8E" w:rsidP="00127A82">
            <w:pPr>
              <w:pStyle w:val="PCJTable"/>
              <w:rPr>
                <w:color w:val="000000"/>
              </w:rPr>
            </w:pPr>
            <w:r w:rsidRPr="00DD587B">
              <w:rPr>
                <w:color w:val="000000"/>
              </w:rPr>
              <w:t>(1) 2</w:t>
            </w:r>
          </w:p>
          <w:p w14:paraId="25FD17D1" w14:textId="77777777" w:rsidR="00BE6B8E" w:rsidRPr="00DD587B" w:rsidRDefault="00BE6B8E" w:rsidP="00127A82">
            <w:pPr>
              <w:pStyle w:val="PCJTable"/>
              <w:rPr>
                <w:highlight w:val="yellow"/>
              </w:rPr>
            </w:pPr>
            <w:r w:rsidRPr="00DD587B">
              <w:rPr>
                <w:color w:val="000000"/>
              </w:rPr>
              <w:t>(2) 25</w:t>
            </w:r>
          </w:p>
        </w:tc>
      </w:tr>
      <w:tr w:rsidR="00BE6B8E" w:rsidRPr="00540CAC" w14:paraId="56D5C612" w14:textId="77777777" w:rsidTr="00456C92">
        <w:trPr>
          <w:jc w:val="center"/>
        </w:trPr>
        <w:tc>
          <w:tcPr>
            <w:tcW w:w="2349" w:type="dxa"/>
          </w:tcPr>
          <w:p w14:paraId="59EEBC90" w14:textId="77777777" w:rsidR="00BE6B8E" w:rsidRPr="00D335A5" w:rsidRDefault="00BE6B8E" w:rsidP="00127A82">
            <w:pPr>
              <w:pStyle w:val="PCJTable"/>
              <w:rPr>
                <w:highlight w:val="yellow"/>
              </w:rPr>
            </w:pPr>
            <w:r w:rsidRPr="00DD587B">
              <w:rPr>
                <w:highlight w:val="yellow"/>
              </w:rPr>
              <w:t>Batch duration</w:t>
            </w:r>
          </w:p>
        </w:tc>
        <w:tc>
          <w:tcPr>
            <w:tcW w:w="2349" w:type="dxa"/>
          </w:tcPr>
          <w:p w14:paraId="36C4C2FE" w14:textId="77777777" w:rsidR="00BE6B8E" w:rsidRPr="00DD587B" w:rsidRDefault="00BE6B8E" w:rsidP="00127A82">
            <w:pPr>
              <w:pStyle w:val="PCJTable"/>
              <w:rPr>
                <w:highlight w:val="yellow"/>
              </w:rPr>
            </w:pPr>
            <w:r w:rsidRPr="00DD587B">
              <w:rPr>
                <w:highlight w:val="yellow"/>
              </w:rPr>
              <w:t>3-7 days (Organic C)</w:t>
            </w:r>
          </w:p>
          <w:p w14:paraId="35796C95" w14:textId="77777777" w:rsidR="00BE6B8E" w:rsidRPr="00D335A5" w:rsidRDefault="00BE6B8E" w:rsidP="00127A82">
            <w:pPr>
              <w:pStyle w:val="PCJTable"/>
              <w:rPr>
                <w:color w:val="000000"/>
              </w:rPr>
            </w:pPr>
            <w:r w:rsidRPr="00DD587B">
              <w:rPr>
                <w:highlight w:val="yellow"/>
              </w:rPr>
              <w:t>15-30 days (CO</w:t>
            </w:r>
            <w:r w:rsidRPr="00DD587B">
              <w:rPr>
                <w:highlight w:val="yellow"/>
                <w:vertAlign w:val="subscript"/>
              </w:rPr>
              <w:t>2</w:t>
            </w:r>
            <w:r w:rsidRPr="00DD587B">
              <w:rPr>
                <w:highlight w:val="yellow"/>
              </w:rPr>
              <w:t>)</w:t>
            </w:r>
          </w:p>
        </w:tc>
        <w:tc>
          <w:tcPr>
            <w:tcW w:w="2349" w:type="dxa"/>
          </w:tcPr>
          <w:p w14:paraId="0E474F99" w14:textId="77777777" w:rsidR="00BE6B8E" w:rsidRPr="00DD587B" w:rsidRDefault="00BE6B8E" w:rsidP="00127A82">
            <w:pPr>
              <w:pStyle w:val="PCJTable"/>
              <w:rPr>
                <w:highlight w:val="yellow"/>
              </w:rPr>
            </w:pPr>
            <w:r w:rsidRPr="00DD587B">
              <w:rPr>
                <w:highlight w:val="yellow"/>
              </w:rPr>
              <w:t>3-7 days (Organic C)</w:t>
            </w:r>
          </w:p>
          <w:p w14:paraId="60C54E49" w14:textId="77777777" w:rsidR="00BE6B8E" w:rsidRPr="00D335A5" w:rsidRDefault="00BE6B8E" w:rsidP="00127A82">
            <w:pPr>
              <w:pStyle w:val="PCJTable"/>
              <w:rPr>
                <w:color w:val="000000"/>
              </w:rPr>
            </w:pPr>
            <w:r w:rsidRPr="00DD587B">
              <w:rPr>
                <w:highlight w:val="yellow"/>
              </w:rPr>
              <w:t>15-30 days (CO</w:t>
            </w:r>
            <w:r w:rsidRPr="00DD587B">
              <w:rPr>
                <w:highlight w:val="yellow"/>
                <w:vertAlign w:val="subscript"/>
              </w:rPr>
              <w:t>2</w:t>
            </w:r>
            <w:r w:rsidRPr="00DD587B">
              <w:rPr>
                <w:highlight w:val="yellow"/>
              </w:rPr>
              <w:t>)</w:t>
            </w:r>
          </w:p>
        </w:tc>
        <w:tc>
          <w:tcPr>
            <w:tcW w:w="2349" w:type="dxa"/>
          </w:tcPr>
          <w:p w14:paraId="0C593F15" w14:textId="77777777" w:rsidR="00BE6B8E" w:rsidRPr="00D335A5" w:rsidRDefault="00BE6B8E" w:rsidP="00127A82">
            <w:pPr>
              <w:pStyle w:val="PCJTable"/>
              <w:rPr>
                <w:color w:val="000000"/>
              </w:rPr>
            </w:pPr>
            <w:r w:rsidRPr="00DD587B">
              <w:rPr>
                <w:highlight w:val="yellow"/>
              </w:rPr>
              <w:t>15-30 days</w:t>
            </w:r>
          </w:p>
        </w:tc>
      </w:tr>
      <w:tr w:rsidR="00BE6B8E" w:rsidRPr="00540CAC" w14:paraId="09DC906F" w14:textId="77777777" w:rsidTr="00456C92">
        <w:trPr>
          <w:jc w:val="center"/>
        </w:trPr>
        <w:tc>
          <w:tcPr>
            <w:tcW w:w="2349" w:type="dxa"/>
          </w:tcPr>
          <w:p w14:paraId="621C7847" w14:textId="77777777" w:rsidR="00BE6B8E" w:rsidRPr="00DD587B" w:rsidRDefault="00BE6B8E" w:rsidP="00127A82">
            <w:pPr>
              <w:pStyle w:val="PCJTable"/>
              <w:rPr>
                <w:highlight w:val="yellow"/>
              </w:rPr>
            </w:pPr>
            <w:r w:rsidRPr="00DD587B">
              <w:rPr>
                <w:highlight w:val="yellow"/>
              </w:rPr>
              <w:t>Enrichment duration</w:t>
            </w:r>
          </w:p>
        </w:tc>
        <w:tc>
          <w:tcPr>
            <w:tcW w:w="2349" w:type="dxa"/>
          </w:tcPr>
          <w:p w14:paraId="793F3087" w14:textId="77777777" w:rsidR="00BE6B8E" w:rsidRPr="00DD587B" w:rsidRDefault="00BE6B8E" w:rsidP="00127A82">
            <w:pPr>
              <w:pStyle w:val="PCJTable"/>
              <w:rPr>
                <w:highlight w:val="yellow"/>
              </w:rPr>
            </w:pPr>
            <w:r w:rsidRPr="00DD587B">
              <w:rPr>
                <w:highlight w:val="yellow"/>
              </w:rPr>
              <w:t>&gt;300 days</w:t>
            </w:r>
          </w:p>
        </w:tc>
        <w:tc>
          <w:tcPr>
            <w:tcW w:w="2349" w:type="dxa"/>
          </w:tcPr>
          <w:p w14:paraId="0835AB19" w14:textId="77777777" w:rsidR="00BE6B8E" w:rsidRPr="00DD587B" w:rsidRDefault="00BE6B8E" w:rsidP="00127A82">
            <w:pPr>
              <w:pStyle w:val="PCJTable"/>
              <w:rPr>
                <w:highlight w:val="yellow"/>
              </w:rPr>
            </w:pPr>
            <w:r w:rsidRPr="00DD587B">
              <w:rPr>
                <w:highlight w:val="yellow"/>
              </w:rPr>
              <w:t>&gt; 300 days</w:t>
            </w:r>
          </w:p>
        </w:tc>
        <w:tc>
          <w:tcPr>
            <w:tcW w:w="2349" w:type="dxa"/>
          </w:tcPr>
          <w:p w14:paraId="0DF1A1E5" w14:textId="77777777" w:rsidR="00BE6B8E" w:rsidRPr="00DD587B" w:rsidRDefault="00BE6B8E" w:rsidP="00127A82">
            <w:pPr>
              <w:pStyle w:val="PCJTable"/>
              <w:rPr>
                <w:highlight w:val="yellow"/>
              </w:rPr>
            </w:pPr>
            <w:r w:rsidRPr="00DD587B">
              <w:rPr>
                <w:highlight w:val="yellow"/>
              </w:rPr>
              <w:t>&gt; 300 days</w:t>
            </w:r>
          </w:p>
        </w:tc>
      </w:tr>
      <w:tr w:rsidR="00BE6B8E" w:rsidRPr="00540CAC" w14:paraId="48DCF4F4" w14:textId="77777777" w:rsidTr="00456C92">
        <w:trPr>
          <w:jc w:val="center"/>
        </w:trPr>
        <w:tc>
          <w:tcPr>
            <w:tcW w:w="2349" w:type="dxa"/>
          </w:tcPr>
          <w:p w14:paraId="6D9D9550" w14:textId="77777777" w:rsidR="00BE6B8E" w:rsidRPr="00DD587B" w:rsidRDefault="00BE6B8E" w:rsidP="00127A82">
            <w:pPr>
              <w:pStyle w:val="PCJTable"/>
              <w:rPr>
                <w:highlight w:val="yellow"/>
              </w:rPr>
            </w:pPr>
            <w:r w:rsidRPr="00DD587B">
              <w:rPr>
                <w:highlight w:val="yellow"/>
              </w:rPr>
              <w:t>Electron donor</w:t>
            </w:r>
          </w:p>
        </w:tc>
        <w:tc>
          <w:tcPr>
            <w:tcW w:w="2349" w:type="dxa"/>
          </w:tcPr>
          <w:p w14:paraId="51761798" w14:textId="77777777" w:rsidR="00BE6B8E" w:rsidRPr="00DD587B" w:rsidRDefault="00BE6B8E" w:rsidP="00127A82">
            <w:pPr>
              <w:pStyle w:val="PCJTable"/>
              <w:rPr>
                <w:highlight w:val="yellow"/>
              </w:rPr>
            </w:pPr>
            <w:r w:rsidRPr="00DD587B">
              <w:rPr>
                <w:highlight w:val="yellow"/>
              </w:rPr>
              <w:t>(1) (2) Organic C</w:t>
            </w:r>
          </w:p>
          <w:p w14:paraId="3A741409" w14:textId="77777777" w:rsidR="00BE6B8E" w:rsidRPr="00DD587B" w:rsidRDefault="00BE6B8E" w:rsidP="00127A82">
            <w:pPr>
              <w:pStyle w:val="PCJTable"/>
              <w:rPr>
                <w:highlight w:val="yellow"/>
              </w:rPr>
            </w:pPr>
            <w:r w:rsidRPr="00DD587B">
              <w:rPr>
                <w:highlight w:val="yellow"/>
              </w:rPr>
              <w:t>(2) (3) Cathode (direct or indirect)</w:t>
            </w:r>
          </w:p>
        </w:tc>
        <w:tc>
          <w:tcPr>
            <w:tcW w:w="2349" w:type="dxa"/>
          </w:tcPr>
          <w:p w14:paraId="123173BD" w14:textId="77777777" w:rsidR="00BE6B8E" w:rsidRPr="00DD587B" w:rsidRDefault="00BE6B8E" w:rsidP="00127A82">
            <w:pPr>
              <w:pStyle w:val="PCJTable"/>
              <w:rPr>
                <w:highlight w:val="yellow"/>
              </w:rPr>
            </w:pPr>
            <w:r w:rsidRPr="00DD587B">
              <w:rPr>
                <w:highlight w:val="yellow"/>
              </w:rPr>
              <w:t xml:space="preserve">(1) (2) Organic C </w:t>
            </w:r>
          </w:p>
          <w:p w14:paraId="0E31E4AB" w14:textId="77777777" w:rsidR="00BE6B8E" w:rsidRPr="00DD587B" w:rsidRDefault="00BE6B8E" w:rsidP="00127A82">
            <w:pPr>
              <w:pStyle w:val="PCJTable"/>
              <w:rPr>
                <w:highlight w:val="yellow"/>
              </w:rPr>
            </w:pPr>
            <w:r w:rsidRPr="00DD587B">
              <w:rPr>
                <w:highlight w:val="yellow"/>
              </w:rPr>
              <w:t>(3) none</w:t>
            </w:r>
          </w:p>
        </w:tc>
        <w:tc>
          <w:tcPr>
            <w:tcW w:w="2349" w:type="dxa"/>
          </w:tcPr>
          <w:p w14:paraId="2B1E20C8" w14:textId="77777777" w:rsidR="00BE6B8E" w:rsidRPr="00DD587B" w:rsidRDefault="00BE6B8E" w:rsidP="00127A82">
            <w:pPr>
              <w:pStyle w:val="PCJTable"/>
              <w:rPr>
                <w:highlight w:val="yellow"/>
              </w:rPr>
            </w:pPr>
            <w:r w:rsidRPr="00DD587B">
              <w:rPr>
                <w:highlight w:val="yellow"/>
              </w:rPr>
              <w:t>(1) NH</w:t>
            </w:r>
            <w:r w:rsidRPr="00DD587B">
              <w:rPr>
                <w:highlight w:val="yellow"/>
                <w:vertAlign w:val="subscript"/>
              </w:rPr>
              <w:t>4</w:t>
            </w:r>
            <w:r w:rsidRPr="00DD587B">
              <w:rPr>
                <w:highlight w:val="yellow"/>
              </w:rPr>
              <w:t>Cl and H</w:t>
            </w:r>
            <w:r w:rsidRPr="00DD587B">
              <w:rPr>
                <w:highlight w:val="yellow"/>
                <w:vertAlign w:val="subscript"/>
              </w:rPr>
              <w:t>2</w:t>
            </w:r>
          </w:p>
          <w:p w14:paraId="3DDC5606" w14:textId="77777777" w:rsidR="00BE6B8E" w:rsidRPr="00DD587B" w:rsidRDefault="00BE6B8E" w:rsidP="00127A82">
            <w:pPr>
              <w:pStyle w:val="PCJTable"/>
              <w:rPr>
                <w:highlight w:val="yellow"/>
              </w:rPr>
            </w:pPr>
            <w:r w:rsidRPr="00DD587B">
              <w:rPr>
                <w:highlight w:val="yellow"/>
              </w:rPr>
              <w:t>(2) H</w:t>
            </w:r>
            <w:r w:rsidRPr="00DD587B">
              <w:rPr>
                <w:highlight w:val="yellow"/>
                <w:vertAlign w:val="subscript"/>
              </w:rPr>
              <w:t>2</w:t>
            </w:r>
          </w:p>
        </w:tc>
      </w:tr>
      <w:tr w:rsidR="00BE6B8E" w:rsidRPr="00540CAC" w14:paraId="508F2C1A" w14:textId="77777777" w:rsidTr="00456C92">
        <w:trPr>
          <w:jc w:val="center"/>
        </w:trPr>
        <w:tc>
          <w:tcPr>
            <w:tcW w:w="2349" w:type="dxa"/>
          </w:tcPr>
          <w:p w14:paraId="5FAE0723" w14:textId="77777777" w:rsidR="00BE6B8E" w:rsidRPr="00DD587B" w:rsidRDefault="00BE6B8E" w:rsidP="00127A82">
            <w:pPr>
              <w:pStyle w:val="PCJTable"/>
              <w:rPr>
                <w:highlight w:val="yellow"/>
              </w:rPr>
            </w:pPr>
            <w:r w:rsidRPr="00DD587B">
              <w:rPr>
                <w:highlight w:val="yellow"/>
              </w:rPr>
              <w:t>Electron acceptor</w:t>
            </w:r>
          </w:p>
        </w:tc>
        <w:tc>
          <w:tcPr>
            <w:tcW w:w="2349" w:type="dxa"/>
          </w:tcPr>
          <w:p w14:paraId="3254A308" w14:textId="77777777" w:rsidR="00BE6B8E" w:rsidRPr="00DD587B" w:rsidRDefault="00BE6B8E" w:rsidP="00127A82">
            <w:pPr>
              <w:pStyle w:val="PCJTable"/>
              <w:rPr>
                <w:highlight w:val="yellow"/>
              </w:rPr>
            </w:pPr>
            <w:r w:rsidRPr="00DD587B">
              <w:rPr>
                <w:highlight w:val="yellow"/>
              </w:rPr>
              <w:t>O</w:t>
            </w:r>
            <w:r w:rsidRPr="00DD587B">
              <w:rPr>
                <w:highlight w:val="yellow"/>
                <w:vertAlign w:val="subscript"/>
              </w:rPr>
              <w:t>2</w:t>
            </w:r>
            <w:r w:rsidRPr="00DD587B">
              <w:rPr>
                <w:highlight w:val="yellow"/>
              </w:rPr>
              <w:t>/N</w:t>
            </w:r>
            <w:r w:rsidRPr="00DD587B">
              <w:rPr>
                <w:highlight w:val="yellow"/>
                <w:vertAlign w:val="subscript"/>
              </w:rPr>
              <w:t>2</w:t>
            </w:r>
            <w:r w:rsidRPr="00DD587B">
              <w:rPr>
                <w:highlight w:val="yellow"/>
              </w:rPr>
              <w:t>/CO</w:t>
            </w:r>
            <w:r w:rsidRPr="00DD587B">
              <w:rPr>
                <w:highlight w:val="yellow"/>
                <w:vertAlign w:val="subscript"/>
              </w:rPr>
              <w:t>2</w:t>
            </w:r>
          </w:p>
        </w:tc>
        <w:tc>
          <w:tcPr>
            <w:tcW w:w="2349" w:type="dxa"/>
          </w:tcPr>
          <w:p w14:paraId="73FF3129" w14:textId="77777777" w:rsidR="00BE6B8E" w:rsidRPr="00DD587B" w:rsidRDefault="00BE6B8E" w:rsidP="00127A82">
            <w:pPr>
              <w:pStyle w:val="PCJTable"/>
              <w:rPr>
                <w:highlight w:val="yellow"/>
                <w:vertAlign w:val="subscript"/>
              </w:rPr>
            </w:pPr>
            <w:r w:rsidRPr="00DD587B">
              <w:rPr>
                <w:highlight w:val="yellow"/>
              </w:rPr>
              <w:t>O</w:t>
            </w:r>
            <w:r w:rsidRPr="00DD587B">
              <w:rPr>
                <w:highlight w:val="yellow"/>
                <w:vertAlign w:val="subscript"/>
              </w:rPr>
              <w:t>2</w:t>
            </w:r>
            <w:r w:rsidRPr="00DD587B">
              <w:rPr>
                <w:highlight w:val="yellow"/>
              </w:rPr>
              <w:t>/N</w:t>
            </w:r>
            <w:r w:rsidRPr="00DD587B">
              <w:rPr>
                <w:highlight w:val="yellow"/>
                <w:vertAlign w:val="subscript"/>
              </w:rPr>
              <w:t>2</w:t>
            </w:r>
            <w:r w:rsidRPr="00DD587B">
              <w:rPr>
                <w:highlight w:val="yellow"/>
              </w:rPr>
              <w:t>/CO</w:t>
            </w:r>
            <w:r w:rsidRPr="00DD587B">
              <w:rPr>
                <w:highlight w:val="yellow"/>
                <w:vertAlign w:val="subscript"/>
              </w:rPr>
              <w:t>2</w:t>
            </w:r>
          </w:p>
        </w:tc>
        <w:tc>
          <w:tcPr>
            <w:tcW w:w="2349" w:type="dxa"/>
          </w:tcPr>
          <w:p w14:paraId="200DE822" w14:textId="77777777" w:rsidR="00BE6B8E" w:rsidRPr="00DD587B" w:rsidRDefault="00BE6B8E" w:rsidP="00127A82">
            <w:pPr>
              <w:pStyle w:val="PCJTable"/>
              <w:rPr>
                <w:highlight w:val="yellow"/>
                <w:vertAlign w:val="subscript"/>
              </w:rPr>
            </w:pPr>
            <w:r w:rsidRPr="00DD587B">
              <w:rPr>
                <w:highlight w:val="yellow"/>
              </w:rPr>
              <w:t>O</w:t>
            </w:r>
            <w:r w:rsidRPr="00DD587B">
              <w:rPr>
                <w:highlight w:val="yellow"/>
                <w:vertAlign w:val="subscript"/>
              </w:rPr>
              <w:t>2</w:t>
            </w:r>
            <w:r w:rsidRPr="00DD587B">
              <w:rPr>
                <w:highlight w:val="yellow"/>
              </w:rPr>
              <w:t>/N</w:t>
            </w:r>
            <w:r w:rsidRPr="00DD587B">
              <w:rPr>
                <w:highlight w:val="yellow"/>
                <w:vertAlign w:val="subscript"/>
              </w:rPr>
              <w:t>2</w:t>
            </w:r>
            <w:r w:rsidRPr="00DD587B">
              <w:rPr>
                <w:highlight w:val="yellow"/>
              </w:rPr>
              <w:t>/CO</w:t>
            </w:r>
            <w:r w:rsidRPr="00DD587B">
              <w:rPr>
                <w:highlight w:val="yellow"/>
                <w:vertAlign w:val="subscript"/>
              </w:rPr>
              <w:t>2</w:t>
            </w:r>
          </w:p>
        </w:tc>
      </w:tr>
    </w:tbl>
    <w:p w14:paraId="684FAC66" w14:textId="0C020F56" w:rsidR="005B204B" w:rsidRPr="005B204B" w:rsidRDefault="00CE05E1" w:rsidP="00456C92">
      <w:pPr>
        <w:pStyle w:val="Lgende"/>
        <w:keepNext/>
        <w:rPr>
          <w:highlight w:val="yellow"/>
        </w:rPr>
      </w:pPr>
      <w:r w:rsidRPr="005B204B">
        <w:rPr>
          <w:highlight w:val="yellow"/>
        </w:rPr>
        <w:t xml:space="preserve"> </w:t>
      </w:r>
    </w:p>
    <w:p w14:paraId="1892DF01" w14:textId="77777777" w:rsidR="0048218F" w:rsidRPr="00456C92" w:rsidRDefault="0048218F" w:rsidP="00643E01">
      <w:pPr>
        <w:pStyle w:val="PCJtext"/>
        <w:rPr>
          <w:highlight w:val="yellow"/>
        </w:rPr>
      </w:pPr>
    </w:p>
    <w:p w14:paraId="391F32E9" w14:textId="77777777" w:rsidR="008B3FF9" w:rsidRPr="00456C92" w:rsidRDefault="007977D4" w:rsidP="00456C92">
      <w:pPr>
        <w:pStyle w:val="PCJtext"/>
        <w:keepNext/>
        <w:rPr>
          <w:highlight w:val="yellow"/>
        </w:rPr>
      </w:pPr>
      <w:r w:rsidRPr="00456C92">
        <w:rPr>
          <w:highlight w:val="yellow"/>
          <w:lang w:val="fr-FR"/>
        </w:rPr>
        <w:lastRenderedPageBreak/>
        <w:drawing>
          <wp:inline distT="0" distB="0" distL="0" distR="0" wp14:anchorId="679243C9" wp14:editId="78576D12">
            <wp:extent cx="5394609" cy="335575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stractgraph.tif"/>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94609" cy="3355757"/>
                    </a:xfrm>
                    <a:prstGeom prst="rect">
                      <a:avLst/>
                    </a:prstGeom>
                    <a:ln>
                      <a:noFill/>
                    </a:ln>
                    <a:extLst>
                      <a:ext uri="{53640926-AAD7-44D8-BBD7-CCE9431645EC}">
                        <a14:shadowObscured xmlns:a14="http://schemas.microsoft.com/office/drawing/2010/main"/>
                      </a:ext>
                    </a:extLst>
                  </pic:spPr>
                </pic:pic>
              </a:graphicData>
            </a:graphic>
          </wp:inline>
        </w:drawing>
      </w:r>
    </w:p>
    <w:p w14:paraId="75865D5A" w14:textId="0029551F" w:rsidR="007977D4" w:rsidRPr="00643E01" w:rsidRDefault="008B3FF9" w:rsidP="00C13637">
      <w:pPr>
        <w:pStyle w:val="PCJcaptionfigure"/>
      </w:pPr>
      <w:bookmarkStart w:id="4" w:name="_Ref135408307"/>
      <w:r w:rsidRPr="00127A82">
        <w:rPr>
          <w:b/>
          <w:highlight w:val="yellow"/>
        </w:rPr>
        <w:t xml:space="preserve">Figure </w:t>
      </w:r>
      <w:r w:rsidRPr="00127A82">
        <w:rPr>
          <w:b/>
          <w:highlight w:val="yellow"/>
        </w:rPr>
        <w:fldChar w:fldCharType="begin"/>
      </w:r>
      <w:r w:rsidRPr="00127A82">
        <w:rPr>
          <w:b/>
          <w:highlight w:val="yellow"/>
        </w:rPr>
        <w:instrText xml:space="preserve"> SEQ Figure \* ARABIC </w:instrText>
      </w:r>
      <w:r w:rsidRPr="00127A82">
        <w:rPr>
          <w:b/>
          <w:highlight w:val="yellow"/>
        </w:rPr>
        <w:fldChar w:fldCharType="separate"/>
      </w:r>
      <w:r w:rsidR="00D802AF" w:rsidRPr="00127A82">
        <w:rPr>
          <w:b/>
          <w:highlight w:val="yellow"/>
        </w:rPr>
        <w:t>1</w:t>
      </w:r>
      <w:r w:rsidRPr="00127A82">
        <w:rPr>
          <w:b/>
          <w:highlight w:val="yellow"/>
        </w:rPr>
        <w:fldChar w:fldCharType="end"/>
      </w:r>
      <w:bookmarkEnd w:id="4"/>
      <w:r w:rsidR="009F23BD">
        <w:rPr>
          <w:highlight w:val="yellow"/>
        </w:rPr>
        <w:t xml:space="preserve"> -</w:t>
      </w:r>
      <w:r w:rsidRPr="00456C92">
        <w:rPr>
          <w:highlight w:val="yellow"/>
        </w:rPr>
        <w:t xml:space="preserve"> Diagram of the enrichment process</w:t>
      </w:r>
    </w:p>
    <w:p w14:paraId="1F36CD69" w14:textId="77777777" w:rsidR="00643E01" w:rsidRPr="00643E01" w:rsidRDefault="00643E01" w:rsidP="00023F62">
      <w:pPr>
        <w:pStyle w:val="PCJSubsection"/>
      </w:pPr>
      <w:r w:rsidRPr="00643E01">
        <w:t>Medium analys</w:t>
      </w:r>
      <w:r>
        <w:t>e</w:t>
      </w:r>
      <w:r w:rsidRPr="00643E01">
        <w:t>s</w:t>
      </w:r>
    </w:p>
    <w:p w14:paraId="36B9C950" w14:textId="6341C1AD" w:rsidR="008A5B16" w:rsidRPr="00643E01" w:rsidRDefault="00643E01" w:rsidP="00FB26E4">
      <w:pPr>
        <w:pStyle w:val="PCJtext"/>
      </w:pPr>
      <w:r w:rsidRPr="00643E01">
        <w:t>NH</w:t>
      </w:r>
      <w:r w:rsidRPr="00643E01">
        <w:rPr>
          <w:vertAlign w:val="subscript"/>
        </w:rPr>
        <w:t>4</w:t>
      </w:r>
      <w:r w:rsidRPr="00643E01">
        <w:rPr>
          <w:vertAlign w:val="superscript"/>
        </w:rPr>
        <w:t>+</w:t>
      </w:r>
      <w:r w:rsidRPr="00643E01">
        <w:t>, NO</w:t>
      </w:r>
      <w:r w:rsidRPr="00643E01">
        <w:rPr>
          <w:vertAlign w:val="subscript"/>
        </w:rPr>
        <w:t>2</w:t>
      </w:r>
      <w:r w:rsidRPr="00643E01">
        <w:rPr>
          <w:vertAlign w:val="superscript"/>
        </w:rPr>
        <w:t>-</w:t>
      </w:r>
      <w:r w:rsidRPr="00643E01">
        <w:t xml:space="preserve"> and NO</w:t>
      </w:r>
      <w:r w:rsidRPr="00643E01">
        <w:rPr>
          <w:vertAlign w:val="subscript"/>
        </w:rPr>
        <w:t>3</w:t>
      </w:r>
      <w:r w:rsidRPr="00643E01">
        <w:rPr>
          <w:vertAlign w:val="superscript"/>
        </w:rPr>
        <w:t>-</w:t>
      </w:r>
      <w:r w:rsidRPr="00643E01">
        <w:t xml:space="preserve"> concentrations were measured using a Gallery+ sequential analyzer (Thermo Fisher Scientific). Two mL of samples were centrifuged at 13500 RPM (~12300g) and then filtered to 0.2µm with nylon membranes before being stored at 4°C. The remaining pellets were stored at -20°C and used for community analysis. VFAs and other carbon compounds were measured on Clarus 580 GC equipped with FID and a Dionex UltiMate 3000 HPLC as described elsewhere </w:t>
      </w:r>
      <w:r w:rsidRPr="00643E01">
        <w:fldChar w:fldCharType="begin"/>
      </w:r>
      <w:r w:rsidRPr="00643E01">
        <w:instrText xml:space="preserve"> ADDIN ZOTERO_ITEM CSL_CITATION {"citationID":"3Y3R6kjM","properties":{"formattedCitation":"(Carmona-Mart\\uc0\\u237{}nez et al., 2015; Moscoviz et al., 2019)","plainCitation":"(Carmona-Martínez et al., 2015; Moscoviz et al., 2019)","noteIndex":0},"citationItems":[{"id":775,"uris":["http://zotero.org/users/local/ahqjqVuV/items/I2K2T6UY"],"itemData":{"id":775,"type":"article-journal","abstract":"A biofilm-based 4 L two chamber microbial electrolysis cell (MEC) was continuously fed with acetate under saline conditions (35 g/L NaCl) for more than 100 days. The MEC produced a biogas highly enriched in H2 (≥90%). Both current (10.6 ± 0.2 A/m2Anode or 199.1 ± 4.0 A/m3MEC) and H2 production (201.1 ± 7.5 LH2/m2Cathode·d or 0.9 ± 0.0 m3H2/m3MEC·d) rates were highly significant when considering the saline operating conditions. A microbial analysis revealed an important enrichment in the anodic biofilm with five main bacterial groups: 44% Proteobacteria, 32% Bacteroidetes, 18% Firmicutes and 5% Spirochaetes and 1% Actinobacteria. Of special interest is the emergence within the Proteobacteria phylum of the recently described halophilic anode-respiring bacteria Geoalkalibacter (unk. species), with a relative abundance up to 14%. These results provide for the first time a noteworthy alternative for the treatment of saline effluents and continuous production of H2.","container-title":"Water Research","DOI":"10.1016/j.watres.2015.05.041","ISSN":"0043-1354","journalAbbreviation":"Water Research","language":"en","page":"149-156","source":"ScienceDirect","title":"Long-term continuous production of H2 in a microbial electrolysis cell (MEC) treating saline wastewater","volume":"81","author":[{"family":"Carmona-Martínez","given":"Alessandro A."},{"family":"Trably","given":"Eric"},{"family":"Milferstedt","given":"Kim"},{"family":"Lacroix","given":"Rémy"},{"family":"Etcheverry","given":"Luc"},{"family":"Bernet","given":"Nicolas"}],"issued":{"date-parts":[["2015",9,15]]}}},{"id":172,"uris":["http://zotero.org/users/local/ahqjqVuV/items/2S94IGKP"],"itemData":{"id":172,"type":"chapter","abstract":"Bioelectrochemical systems (BES) that can be involved in the valorization of organic residues use microorganisms able to exchange electrons with an electrode. In the case of microbial fuel cells (MFC), microbial oxidation of organic substrates at the anode generates energy as electric current. In a microbial electrolysis cell, electric energy is provided so that electrons generated by microbial oxidation of organic matter at the anode allow hydrogen production at the cathode. Electrodes can also be used to control fermentation reactions in the electro-fermentation process. Other applications include the production of methane or organic molecules by microbiological carbon dioxide reduction at the cathode, i.e. microbial electrosynthesis. It is also possible to use these BES to recover nutrient from specific effluents.","container-title":"Biorefinery: Integrated Sustainable Processes for Biomass Conversion to Biomaterials, Biofuels, and Fertilizers","event-place":"Cham","ISBN":"978-3-030-10961-5","language":"en","note":"DOI: 10.1007/978-3-030-10961-5_21","page":"511-534","publisher":"Springer International Publishing","publisher-place":"Cham","source":"Springer Link","title":"Bioelectrochemical Systems for the Valorization of Organic Residues","URL":"https://doi.org/10.1007/978-3-030-10961-5_21","author":[{"family":"Moscoviz","given":"Roman"},{"family":"Desmond-Le Quéméner","given":"Elie"},{"family":"Trably","given":"Eric"},{"family":"Bernet","given":"Nicolas"}],"editor":[{"family":"Bastidas-Oyanedel","given":"Juan-Rodrigo"},{"family":"Schmidt","given":"Jens Ejbye"}],"accessed":{"date-parts":[["2020",4,8]]},"issued":{"date-parts":[["2019"]]}}}],"schema":"https://github.com/citation-style-language/schema/raw/master/csl-citation.json"} </w:instrText>
      </w:r>
      <w:r w:rsidRPr="00643E01">
        <w:fldChar w:fldCharType="separate"/>
      </w:r>
      <w:r w:rsidRPr="00643E01">
        <w:t>(Carmona-Martínez et al., 2015; Moscoviz et al., 2019)</w:t>
      </w:r>
      <w:r w:rsidRPr="00643E01">
        <w:fldChar w:fldCharType="end"/>
      </w:r>
    </w:p>
    <w:p w14:paraId="178C765A" w14:textId="4B76C6DC" w:rsidR="00643E01" w:rsidRPr="00643E01" w:rsidRDefault="00643E01" w:rsidP="00643E01">
      <w:pPr>
        <w:pStyle w:val="PCJtext"/>
      </w:pPr>
      <w:r w:rsidRPr="00643E01">
        <w:t>Total nitrogen was measured using a CHNS Flashsmart elemental analyzer (Thermo Fisher Scientific). The sample (approximatively 2.5 mg) was weighed and was introduced into the oxidation/reduction chamber of the analyzer. 200 mL of medium were sampled at each medium change. These samples were dried for 4-5 days at 60°C. The samples were then freeze-dried and then grounded with a mortar. Two to four mg of each sample was used in the CHNS analyzer. The nitrogen content was then compared to the dry weight measured before freeze-drying to determine the mass of nitrogen in the medium. No CHNS analysis was performed on H</w:t>
      </w:r>
      <w:r w:rsidRPr="00643E01">
        <w:rPr>
          <w:vertAlign w:val="subscript"/>
        </w:rPr>
        <w:t>2</w:t>
      </w:r>
      <w:r w:rsidRPr="00643E01">
        <w:t xml:space="preserve"> –based enrichment due to a low culture volume (50mL).</w:t>
      </w:r>
    </w:p>
    <w:p w14:paraId="02A516AE" w14:textId="5A5C8448" w:rsidR="00643E01" w:rsidRDefault="006B19F5" w:rsidP="00643E01">
      <w:pPr>
        <w:pStyle w:val="PCJtext"/>
      </w:pPr>
      <w:r w:rsidRPr="00C13637">
        <w:rPr>
          <w:highlight w:val="yellow"/>
        </w:rPr>
        <w:t>Nitrogen present in the biomass (biofilm and planktonic) was estimated from quantification of 16S rDNA with qPCR. The rrnDB-5.7 database was used to estimate the actual bacterial amount from 16S rDNA qPCR using theoretical 16S rDNA copies/genome per strain, genus or family given by the database and sequencing results from our communities</w:t>
      </w:r>
      <w:r w:rsidR="0072084A" w:rsidRPr="00C13637">
        <w:rPr>
          <w:highlight w:val="yellow"/>
        </w:rPr>
        <w:t xml:space="preserve"> </w:t>
      </w:r>
      <w:r w:rsidR="00643E01" w:rsidRPr="00C13637">
        <w:rPr>
          <w:highlight w:val="yellow"/>
        </w:rPr>
        <w:fldChar w:fldCharType="begin"/>
      </w:r>
      <w:r w:rsidR="00643E01" w:rsidRPr="00C13637">
        <w:rPr>
          <w:highlight w:val="yellow"/>
        </w:rPr>
        <w:instrText xml:space="preserve"> ADDIN ZOTERO_ITEM CSL_CITATION {"citationID":"ctn7RrEg","properties":{"formattedCitation":"(Stoddard et al., 2015)","plainCitation":"(Stoddard et al., 2015)","noteIndex":0},"citationItems":[{"id":724,"uris":["http://zotero.org/users/local/ahqjqVuV/items/B2EAWKNX"],"itemData":{"id":724,"type":"article-journal","container-title":"Nucleic Acids Research","DOI":"10.1093/nar/gku1201","ISSN":"1362-4962, 0305-1048","issue":"D1","language":"en","page":"D593-D598","source":"DOI.org (Crossref)","title":"rrnDB: improved tools for interpreting rRNA gene abundance in bacteria and archaea and a new foundation for future development","title-short":"rrnDB","volume":"43","author":[{"family":"Stoddard","given":"Steven F."},{"family":"Smith","given":"Byron J."},{"family":"Hein","given":"Robert"},{"family":"Roller","given":"Benjamin R.K."},{"family":"Schmidt","given":"Thomas M."}],"issued":{"date-parts":[["2015",1,28]]}}}],"schema":"https://github.com/citation-style-language/schema/raw/master/csl-citation.json"} </w:instrText>
      </w:r>
      <w:r w:rsidR="00643E01" w:rsidRPr="00C13637">
        <w:rPr>
          <w:highlight w:val="yellow"/>
        </w:rPr>
        <w:fldChar w:fldCharType="separate"/>
      </w:r>
      <w:r w:rsidR="00643E01" w:rsidRPr="00C13637">
        <w:rPr>
          <w:highlight w:val="yellow"/>
        </w:rPr>
        <w:t>(Stoddard et al., 2015)</w:t>
      </w:r>
      <w:r w:rsidR="00643E01" w:rsidRPr="00C13637">
        <w:rPr>
          <w:highlight w:val="yellow"/>
        </w:rPr>
        <w:fldChar w:fldCharType="end"/>
      </w:r>
      <w:r w:rsidR="00643E01" w:rsidRPr="00643E01">
        <w:t xml:space="preserve">. Then, the </w:t>
      </w:r>
      <w:r w:rsidR="00643E01" w:rsidRPr="00456C92">
        <w:rPr>
          <w:highlight w:val="yellow"/>
        </w:rPr>
        <w:t>theoretical</w:t>
      </w:r>
      <w:r w:rsidR="0072084A" w:rsidRPr="00456C92">
        <w:rPr>
          <w:highlight w:val="yellow"/>
        </w:rPr>
        <w:t xml:space="preserve"> calculated</w:t>
      </w:r>
      <w:r w:rsidR="00643E01" w:rsidRPr="00456C92">
        <w:rPr>
          <w:highlight w:val="yellow"/>
        </w:rPr>
        <w:t xml:space="preserve"> number</w:t>
      </w:r>
      <w:r w:rsidR="00643E01" w:rsidRPr="00643E01">
        <w:t xml:space="preserve"> of bacteria was used to determine the nitrogen content in the biomass using the theoretical average dry mass of an </w:t>
      </w:r>
      <w:r w:rsidR="00643E01" w:rsidRPr="00643E01">
        <w:rPr>
          <w:i/>
        </w:rPr>
        <w:t>Escherichia coli</w:t>
      </w:r>
      <w:r w:rsidR="00643E01" w:rsidRPr="00643E01">
        <w:t xml:space="preserve"> cell of 216×10</w:t>
      </w:r>
      <w:r w:rsidR="00643E01" w:rsidRPr="00643E01">
        <w:rPr>
          <w:vertAlign w:val="superscript"/>
        </w:rPr>
        <w:t>-15</w:t>
      </w:r>
      <w:r w:rsidR="00643E01" w:rsidRPr="00643E01">
        <w:t xml:space="preserve"> g/bacterium and with a theoretical relative mass of nitrogen in microbial biomass, ie. 11.4% according to the average biomass formula CH</w:t>
      </w:r>
      <w:r w:rsidR="00643E01" w:rsidRPr="00643E01">
        <w:rPr>
          <w:vertAlign w:val="subscript"/>
        </w:rPr>
        <w:t>1.8</w:t>
      </w:r>
      <w:r w:rsidR="00643E01" w:rsidRPr="00643E01">
        <w:t>O</w:t>
      </w:r>
      <w:r w:rsidR="00643E01" w:rsidRPr="00643E01">
        <w:rPr>
          <w:vertAlign w:val="subscript"/>
        </w:rPr>
        <w:t>0.5</w:t>
      </w:r>
      <w:r w:rsidR="00643E01" w:rsidRPr="00643E01">
        <w:t>N</w:t>
      </w:r>
      <w:r w:rsidR="00643E01" w:rsidRPr="00643E01">
        <w:rPr>
          <w:vertAlign w:val="subscript"/>
        </w:rPr>
        <w:t>0.2</w:t>
      </w:r>
      <w:r w:rsidR="00643E01" w:rsidRPr="00643E01">
        <w:t xml:space="preserve"> </w:t>
      </w:r>
      <w:r w:rsidR="00643E01" w:rsidRPr="00643E01">
        <w:rPr>
          <w:vertAlign w:val="subscript"/>
        </w:rPr>
        <w:fldChar w:fldCharType="begin"/>
      </w:r>
      <w:r w:rsidR="00643E01" w:rsidRPr="00643E01">
        <w:rPr>
          <w:vertAlign w:val="subscript"/>
        </w:rPr>
        <w:instrText xml:space="preserve"> ADDIN ZOTERO_ITEM CSL_CITATION {"citationID":"o5jkMz9A","properties":{"formattedCitation":"(Heldal et al., 1985; Loferer-Kr\\uc0\\u246{}\\uc0\\u223{}bacher et al., 1998)","plainCitation":"(Heldal et al., 1985; Loferer-Krößbacher et al., 1998)","noteIndex":0},"citationItems":[{"id":825,"uris":["http://zotero.org/users/local/ahqjqVuV/items/3ZREUTGM"],"itemData":{"id":825,"type":"article-journal","abstract":"A method for the determination of dry matter and elemental content of individual bacterial cells is described. The method is based on energy-dispersive X-ray microanalysis in a transmission electron microscope. A theory for area correction of intensity is developed. Escherichia coli in the late exponential phase of growth and early stationary phase (glucose limited) had an average dry matter content of 278 and 154 fg/cell, respectively. Of the elements detected, sodium, magnesium, phosphorus, sulphur, chlorine, potassium, and calcium together made up 15 to 17% of the dry matter content. A phosphorus content of 4.2 to 5.4% of the dry matter was found in these cells. Volume measurements of air-dried cells gave an average of 1.20 to 1.25 micron3. These results emphasize that dry matter content and elemental composition can be measured directly on single cells from complex microbial communities.","container-title":"Applied and Environmental Microbiology","DOI":"10.1128/aem.50.5.1251-1257.1985","issue":"5","note":"publisher: American Society for Microbiology","page":"1251-1257","source":"journals.asm.org (Atypon)","title":"X-ray microanalytic method for measurement of dry matter and elemental content of individual bacteria","volume":"50","author":[{"family":"Heldal","given":"M"},{"family":"Norland","given":"S"},{"family":"Tumyr","given":"O"}],"issued":{"date-parts":[["1985",11]]}}},{"id":820,"uris":["http://zotero.org/users/local/ahqjqVuV/items/UPGWE7MB"],"itemData":{"id":820,"type":"article-journal","abstract":"We applied transmission electron microscopy and densitometric image analysis to measure the cell volume (V) and dry weight (DW) of single bacterial cells. The system was applied to measure the DW of Escherichia coli DSM 613 at different growth phases and of natural bacterial assemblages of two lakes, Piburger See and Gossenköllesee. We found a functional allometric relationship between DW (in femtograms) and V (in cubic micrometers) of bacteria (DW = 435 · V0.86); i.e., smaller bacteria had a higher ratio of DW to V than larger cells. The measured DW of E. coli cells ranged from 83 to 1,172 fg, and V ranged from 0.1 to 3.5 μm3 (n = 678). Bacterial cells from Piburger See and Gossenköllesee (n = 465) had DWs from 3 fg (V = 0.003 μm3) to 1,177 fg (V = 3.5 μm3). Between 40 and 50% of the cells had a DW of less than 20 fg. By assuming that carbon comprises 50% of the DW, the ratio of carbon content to V of individual cells varied from 466 fg of C μm−3 for Vs of 0.001 to 0.01 μm3 to 397 fg of C μm−3 (0.01 to 0.1 μm3) and 288 fg of C μm−3 (0.1 to 1 μm3). Exponentially growing and stationary cells of E. coli DSM 613 showed conversion factors of 254 fg of C μm−3 (0.1 to 1 μm3) and 211 fg of C μm−3 (1 to 4 μm3), respectively. Our data suggest that bacterial biomass in aquatic environments is higher and more variable than previously assumed from volume-based measurements.","container-title":"Applied and Environmental Microbiology","ISSN":"0099-2240","issue":"2","journalAbbreviation":"Appl Environ Microbiol","note":"PMID: 9464409\nPMCID: PMC106103","page":"688-694","source":"PubMed Central","title":"Determination of Bacterial Cell Dry Mass by Transmission Electron Microscopy and Densitometric Image Analysis","volume":"64","author":[{"family":"Loferer-Krößbacher","given":"M."},{"family":"Klima","given":"J."},{"family":"Psenner","given":"R."}],"issued":{"date-parts":[["1998",2]]}}}],"schema":"https://github.com/citation-style-language/schema/raw/master/csl-citation.json"} </w:instrText>
      </w:r>
      <w:r w:rsidR="00643E01" w:rsidRPr="00643E01">
        <w:rPr>
          <w:vertAlign w:val="subscript"/>
        </w:rPr>
        <w:fldChar w:fldCharType="separate"/>
      </w:r>
      <w:r w:rsidR="00643E01" w:rsidRPr="00643E01">
        <w:t>(Heldal et al., 1985; Loferer-Krößbacher et al., 1998)</w:t>
      </w:r>
      <w:r w:rsidR="00643E01" w:rsidRPr="00643E01">
        <w:fldChar w:fldCharType="end"/>
      </w:r>
      <w:r w:rsidR="00643E01" w:rsidRPr="00643E01">
        <w:t>. The nitrogen present in the biomass was therefore estimated using the formula below:</w:t>
      </w:r>
    </w:p>
    <w:p w14:paraId="1263C0FB" w14:textId="77777777" w:rsidR="00643E01" w:rsidRPr="00643E01" w:rsidRDefault="00643E01" w:rsidP="00643E01">
      <w:pPr>
        <w:pStyle w:val="PCJtext"/>
      </w:pPr>
    </w:p>
    <w:p w14:paraId="17EF1C04" w14:textId="77777777" w:rsidR="00643E01" w:rsidRPr="00643E01" w:rsidRDefault="00643E01" w:rsidP="00643E01">
      <w:pPr>
        <w:pStyle w:val="PCJtext"/>
        <w:ind w:firstLine="0"/>
        <w:jc w:val="left"/>
      </w:pPr>
      <w:r>
        <w:rPr>
          <w:sz w:val="18"/>
        </w:rPr>
        <w:t>Eq. 6</w:t>
      </w:r>
      <w:r>
        <w:rPr>
          <w:sz w:val="18"/>
        </w:rPr>
        <w:tab/>
      </w:r>
      <m:oMath>
        <m:r>
          <w:rPr>
            <w:rFonts w:ascii="Cambria Math" w:hAnsi="Cambria Math"/>
            <w:sz w:val="18"/>
          </w:rPr>
          <m:t>N</m:t>
        </m:r>
        <m:r>
          <m:rPr>
            <m:sty m:val="p"/>
          </m:rPr>
          <w:rPr>
            <w:rFonts w:ascii="Cambria Math" w:hAnsi="Cambria Math"/>
            <w:sz w:val="18"/>
          </w:rPr>
          <m:t>_(</m:t>
        </m:r>
        <m:r>
          <w:rPr>
            <w:rFonts w:ascii="Cambria Math" w:hAnsi="Cambria Math"/>
            <w:sz w:val="18"/>
          </w:rPr>
          <m:t>in</m:t>
        </m:r>
        <m:r>
          <m:rPr>
            <m:sty m:val="p"/>
          </m:rPr>
          <w:rPr>
            <w:rFonts w:ascii="Cambria Math" w:hAnsi="Cambria Math"/>
            <w:sz w:val="18"/>
          </w:rPr>
          <m:t xml:space="preserve"> </m:t>
        </m:r>
        <m:r>
          <w:rPr>
            <w:rFonts w:ascii="Cambria Math" w:hAnsi="Cambria Math"/>
            <w:sz w:val="18"/>
          </w:rPr>
          <m:t>biomass</m:t>
        </m:r>
        <m:r>
          <m:rPr>
            <m:sty m:val="p"/>
          </m:rPr>
          <w:rPr>
            <w:rFonts w:ascii="Cambria Math" w:hAnsi="Cambria Math"/>
            <w:sz w:val="18"/>
          </w:rPr>
          <m:t xml:space="preserve">)= </m:t>
        </m:r>
        <m:r>
          <w:rPr>
            <w:rFonts w:ascii="Cambria Math" w:hAnsi="Cambria Math"/>
            <w:sz w:val="18"/>
          </w:rPr>
          <m:t>theoretical</m:t>
        </m:r>
        <m:r>
          <m:rPr>
            <m:sty m:val="p"/>
          </m:rPr>
          <w:rPr>
            <w:rFonts w:ascii="Cambria Math" w:hAnsi="Cambria Math"/>
            <w:sz w:val="18"/>
          </w:rPr>
          <m:t xml:space="preserve"> </m:t>
        </m:r>
        <m:r>
          <w:rPr>
            <w:rFonts w:ascii="Cambria Math" w:hAnsi="Cambria Math"/>
            <w:sz w:val="18"/>
          </w:rPr>
          <m:t>bacteria</m:t>
        </m:r>
        <m:r>
          <m:rPr>
            <m:sty m:val="p"/>
          </m:rPr>
          <w:rPr>
            <w:rFonts w:ascii="Cambria Math" w:hAnsi="Cambria Math"/>
            <w:sz w:val="18"/>
          </w:rPr>
          <m:t xml:space="preserve"> </m:t>
        </m:r>
        <m:r>
          <w:rPr>
            <w:rFonts w:ascii="Cambria Math" w:hAnsi="Cambria Math"/>
            <w:sz w:val="18"/>
          </w:rPr>
          <m:t>count</m:t>
        </m:r>
        <m:r>
          <m:rPr>
            <m:sty m:val="p"/>
          </m:rPr>
          <w:rPr>
            <w:rFonts w:ascii="Cambria Math" w:hAnsi="Cambria Math"/>
            <w:sz w:val="18"/>
          </w:rPr>
          <m:t>×</m:t>
        </m:r>
        <m:r>
          <w:rPr>
            <w:rFonts w:ascii="Cambria Math" w:hAnsi="Cambria Math"/>
            <w:sz w:val="18"/>
          </w:rPr>
          <m:t>mass</m:t>
        </m:r>
        <m:r>
          <m:rPr>
            <m:sty m:val="p"/>
          </m:rPr>
          <w:rPr>
            <w:rFonts w:ascii="Cambria Math" w:hAnsi="Cambria Math"/>
            <w:sz w:val="18"/>
          </w:rPr>
          <m:t xml:space="preserve"> </m:t>
        </m:r>
        <m:r>
          <w:rPr>
            <w:rFonts w:ascii="Cambria Math" w:hAnsi="Cambria Math"/>
            <w:sz w:val="18"/>
          </w:rPr>
          <m:t>E</m:t>
        </m:r>
        <m:r>
          <m:rPr>
            <m:sty m:val="p"/>
          </m:rPr>
          <w:rPr>
            <w:rFonts w:ascii="Cambria Math" w:hAnsi="Cambria Math"/>
            <w:sz w:val="18"/>
          </w:rPr>
          <m:t xml:space="preserve">. </m:t>
        </m:r>
        <m:r>
          <w:rPr>
            <w:rFonts w:ascii="Cambria Math" w:hAnsi="Cambria Math"/>
            <w:sz w:val="18"/>
          </w:rPr>
          <m:t>coli</m:t>
        </m:r>
        <m:r>
          <m:rPr>
            <m:sty m:val="p"/>
          </m:rPr>
          <w:rPr>
            <w:rFonts w:ascii="Cambria Math" w:hAnsi="Cambria Math"/>
            <w:sz w:val="18"/>
          </w:rPr>
          <m:t>×</m:t>
        </m:r>
        <m:r>
          <w:rPr>
            <w:rFonts w:ascii="Cambria Math" w:hAnsi="Cambria Math"/>
            <w:sz w:val="18"/>
          </w:rPr>
          <m:t>relative</m:t>
        </m:r>
        <m:r>
          <m:rPr>
            <m:sty m:val="p"/>
          </m:rPr>
          <w:rPr>
            <w:rFonts w:ascii="Cambria Math" w:hAnsi="Cambria Math"/>
            <w:sz w:val="18"/>
          </w:rPr>
          <m:t xml:space="preserve"> </m:t>
        </m:r>
        <m:r>
          <w:rPr>
            <w:rFonts w:ascii="Cambria Math" w:hAnsi="Cambria Math"/>
            <w:sz w:val="18"/>
          </w:rPr>
          <m:t>mass</m:t>
        </m:r>
        <m:r>
          <m:rPr>
            <m:sty m:val="p"/>
          </m:rPr>
          <w:rPr>
            <w:rFonts w:ascii="Cambria Math" w:hAnsi="Cambria Math"/>
            <w:sz w:val="18"/>
          </w:rPr>
          <m:t xml:space="preserve"> </m:t>
        </m:r>
        <m:r>
          <w:rPr>
            <w:rFonts w:ascii="Cambria Math" w:hAnsi="Cambria Math"/>
            <w:sz w:val="18"/>
          </w:rPr>
          <m:t>of</m:t>
        </m:r>
        <m:r>
          <m:rPr>
            <m:sty m:val="p"/>
          </m:rPr>
          <w:rPr>
            <w:rFonts w:ascii="Cambria Math" w:hAnsi="Cambria Math"/>
            <w:sz w:val="18"/>
          </w:rPr>
          <m:t xml:space="preserve"> </m:t>
        </m:r>
        <m:r>
          <w:rPr>
            <w:rFonts w:ascii="Cambria Math" w:hAnsi="Cambria Math"/>
            <w:sz w:val="18"/>
          </w:rPr>
          <m:t>N</m:t>
        </m:r>
        <m:r>
          <m:rPr>
            <m:sty m:val="p"/>
          </m:rPr>
          <w:rPr>
            <w:rFonts w:ascii="Cambria Math" w:hAnsi="Cambria Math"/>
            <w:sz w:val="18"/>
          </w:rPr>
          <m:t xml:space="preserve"> </m:t>
        </m:r>
        <m:r>
          <w:rPr>
            <w:rFonts w:ascii="Cambria Math" w:hAnsi="Cambria Math"/>
            <w:sz w:val="18"/>
          </w:rPr>
          <m:t>in</m:t>
        </m:r>
        <m:r>
          <m:rPr>
            <m:sty m:val="p"/>
          </m:rPr>
          <w:rPr>
            <w:rFonts w:ascii="Cambria Math" w:hAnsi="Cambria Math"/>
            <w:sz w:val="18"/>
          </w:rPr>
          <m:t xml:space="preserve"> </m:t>
        </m:r>
        <m:r>
          <w:rPr>
            <w:rFonts w:ascii="Cambria Math" w:hAnsi="Cambria Math"/>
            <w:sz w:val="18"/>
          </w:rPr>
          <m:t>biomass</m:t>
        </m:r>
      </m:oMath>
    </w:p>
    <w:p w14:paraId="4B12887A" w14:textId="77777777" w:rsidR="00643E01" w:rsidRDefault="00643E01" w:rsidP="00643E01">
      <w:pPr>
        <w:pStyle w:val="PCJtext"/>
      </w:pPr>
    </w:p>
    <w:p w14:paraId="210A894D" w14:textId="73CE52CB" w:rsidR="00643E01" w:rsidRDefault="00643E01" w:rsidP="00643E01">
      <w:pPr>
        <w:pStyle w:val="PCJtext"/>
      </w:pPr>
      <w:r w:rsidRPr="00643E01">
        <w:t xml:space="preserve">With </w:t>
      </w:r>
      <w:r w:rsidRPr="00643E01">
        <w:rPr>
          <w:i/>
        </w:rPr>
        <w:t>N</w:t>
      </w:r>
      <w:r w:rsidRPr="00643E01">
        <w:rPr>
          <w:i/>
          <w:vertAlign w:val="subscript"/>
        </w:rPr>
        <w:t>in biomass</w:t>
      </w:r>
      <w:r w:rsidRPr="00643E01">
        <w:rPr>
          <w:i/>
        </w:rPr>
        <w:t xml:space="preserve"> </w:t>
      </w:r>
      <w:r w:rsidRPr="00643E01">
        <w:t>the nitrogen concentration in the medium from biomass in mg</w:t>
      </w:r>
      <w:r w:rsidRPr="00643E01">
        <w:rPr>
          <w:vertAlign w:val="subscript"/>
        </w:rPr>
        <w:t>N</w:t>
      </w:r>
      <w:r w:rsidRPr="00643E01">
        <w:t xml:space="preserve">/L, the </w:t>
      </w:r>
      <w:r w:rsidRPr="00643E01">
        <w:rPr>
          <w:i/>
        </w:rPr>
        <w:t>theoretical bacteria count</w:t>
      </w:r>
      <w:r w:rsidRPr="00643E01">
        <w:t xml:space="preserve"> based on </w:t>
      </w:r>
      <w:r w:rsidRPr="00456C92">
        <w:rPr>
          <w:highlight w:val="yellow"/>
        </w:rPr>
        <w:t>the</w:t>
      </w:r>
      <w:r w:rsidR="00824010" w:rsidRPr="00456C92">
        <w:rPr>
          <w:highlight w:val="yellow"/>
        </w:rPr>
        <w:t xml:space="preserve"> calcul of</w:t>
      </w:r>
      <w:r w:rsidRPr="00456C92">
        <w:rPr>
          <w:highlight w:val="yellow"/>
        </w:rPr>
        <w:t xml:space="preserve"> concentration</w:t>
      </w:r>
      <w:r w:rsidR="00824010" w:rsidRPr="00456C92">
        <w:rPr>
          <w:highlight w:val="yellow"/>
        </w:rPr>
        <w:t xml:space="preserve"> in bacteria with results of qPCR of 16S rDNA</w:t>
      </w:r>
      <w:r w:rsidR="00824010">
        <w:t>for</w:t>
      </w:r>
      <w:r w:rsidRPr="00643E01">
        <w:t xml:space="preserve"> each enrichment (number of bacteria/L), </w:t>
      </w:r>
      <w:r w:rsidRPr="00643E01">
        <w:rPr>
          <w:i/>
        </w:rPr>
        <w:t>mass E. coli</w:t>
      </w:r>
      <w:r w:rsidRPr="00643E01">
        <w:t xml:space="preserve"> a constant of 2.16 10</w:t>
      </w:r>
      <w:r w:rsidRPr="00643E01">
        <w:rPr>
          <w:vertAlign w:val="superscript"/>
        </w:rPr>
        <w:t>-10</w:t>
      </w:r>
      <w:r w:rsidRPr="00643E01">
        <w:t xml:space="preserve"> mg/cell</w:t>
      </w:r>
      <w:r w:rsidRPr="00643E01">
        <w:rPr>
          <w:i/>
          <w:vertAlign w:val="subscript"/>
        </w:rPr>
        <w:t xml:space="preserve">E. coli </w:t>
      </w:r>
      <w:r w:rsidRPr="00643E01">
        <w:t xml:space="preserve">and </w:t>
      </w:r>
      <w:r w:rsidRPr="00643E01">
        <w:rPr>
          <w:i/>
        </w:rPr>
        <w:t xml:space="preserve">relative mass of N in bacteria </w:t>
      </w:r>
      <w:r w:rsidRPr="00643E01">
        <w:t>is 11.4% of the dry mass.</w:t>
      </w:r>
    </w:p>
    <w:p w14:paraId="2C420A05" w14:textId="77777777" w:rsidR="00643E01" w:rsidRPr="00643E01" w:rsidRDefault="00643E01" w:rsidP="00023F62">
      <w:pPr>
        <w:pStyle w:val="PCJSubsection"/>
      </w:pPr>
      <w:r w:rsidRPr="00643E01">
        <w:lastRenderedPageBreak/>
        <w:t>Gas analysis and acetylene reduction assay (ARA)</w:t>
      </w:r>
    </w:p>
    <w:p w14:paraId="7C871A62" w14:textId="77777777" w:rsidR="00643E01" w:rsidRPr="00643E01" w:rsidRDefault="00643E01" w:rsidP="00643E01">
      <w:pPr>
        <w:pStyle w:val="PCJtext"/>
      </w:pPr>
      <w:r w:rsidRPr="00643E01">
        <w:t>CO</w:t>
      </w:r>
      <w:r w:rsidRPr="00643E01">
        <w:rPr>
          <w:vertAlign w:val="subscript"/>
        </w:rPr>
        <w:t>2</w:t>
      </w:r>
      <w:r w:rsidRPr="00643E01">
        <w:t>, H</w:t>
      </w:r>
      <w:r w:rsidRPr="00643E01">
        <w:rPr>
          <w:vertAlign w:val="subscript"/>
        </w:rPr>
        <w:t>2</w:t>
      </w:r>
      <w:r w:rsidRPr="00643E01">
        <w:t xml:space="preserve"> and N</w:t>
      </w:r>
      <w:r w:rsidRPr="00643E01">
        <w:rPr>
          <w:vertAlign w:val="subscript"/>
        </w:rPr>
        <w:t>2</w:t>
      </w:r>
      <w:r w:rsidRPr="00643E01">
        <w:t xml:space="preserve"> used in the headspace of the enrichments were provided at laboratory grade. Pure ethylene was also supplied for calibration of the gas chromatography ethylene measurement.</w:t>
      </w:r>
    </w:p>
    <w:p w14:paraId="660C271F" w14:textId="77777777" w:rsidR="00643E01" w:rsidRPr="00643E01" w:rsidRDefault="00643E01" w:rsidP="00643E01">
      <w:pPr>
        <w:pStyle w:val="PCJtext"/>
      </w:pPr>
      <w:r w:rsidRPr="00643E01">
        <w:t>Headspace compositions and pressures were analyzed every 1-2 days. The pressure was manually measured with a Keller LEO 2 manometer (KELLER AG, Wintherthur, Switzerland). Gas analyses were carried out on a Perkin Elmer Clarus 580 GC equipped with RT-Q-Bond and RT-Msieve 5Å columns with a TCD allowing the quantification of H</w:t>
      </w:r>
      <w:r w:rsidRPr="00643E01">
        <w:rPr>
          <w:vertAlign w:val="subscript"/>
        </w:rPr>
        <w:t>2</w:t>
      </w:r>
      <w:r w:rsidRPr="00643E01">
        <w:t>, CO</w:t>
      </w:r>
      <w:r w:rsidRPr="00643E01">
        <w:rPr>
          <w:vertAlign w:val="subscript"/>
        </w:rPr>
        <w:t>2</w:t>
      </w:r>
      <w:r w:rsidRPr="00643E01">
        <w:t>, N</w:t>
      </w:r>
      <w:r w:rsidRPr="00643E01">
        <w:rPr>
          <w:vertAlign w:val="subscript"/>
        </w:rPr>
        <w:t>2</w:t>
      </w:r>
      <w:r w:rsidRPr="00643E01">
        <w:t>, O</w:t>
      </w:r>
      <w:r w:rsidRPr="00643E01">
        <w:rPr>
          <w:vertAlign w:val="subscript"/>
        </w:rPr>
        <w:t>2</w:t>
      </w:r>
      <w:r w:rsidRPr="00643E01">
        <w:t xml:space="preserve"> and CH</w:t>
      </w:r>
      <w:r w:rsidRPr="00643E01">
        <w:rPr>
          <w:vertAlign w:val="subscript"/>
        </w:rPr>
        <w:t>4</w:t>
      </w:r>
      <w:r w:rsidRPr="00643E01">
        <w:t xml:space="preserve"> with Ar as carrier gas as described by A. Carmona-Martínez </w:t>
      </w:r>
      <w:r w:rsidRPr="00643E01">
        <w:fldChar w:fldCharType="begin"/>
      </w:r>
      <w:r w:rsidRPr="00643E01">
        <w:instrText xml:space="preserve"> ADDIN ZOTERO_ITEM CSL_CITATION {"citationID":"ahokTHho","properties":{"formattedCitation":"(Carmona-Mart\\uc0\\u237{}nez et al., 2015)","plainCitation":"(Carmona-Martínez et al., 2015)","noteIndex":0},"citationItems":[{"id":775,"uris":["http://zotero.org/users/local/ahqjqVuV/items/I2K2T6UY"],"itemData":{"id":775,"type":"article-journal","abstract":"A biofilm-based 4 L two chamber microbial electrolysis cell (MEC) was continuously fed with acetate under saline conditions (35 g/L NaCl) for more than 100 days. The MEC produced a biogas highly enriched in H2 (≥90%). Both current (10.6 ± 0.2 A/m2Anode or 199.1 ± 4.0 A/m3MEC) and H2 production (201.1 ± 7.5 LH2/m2Cathode·d or 0.9 ± 0.0 m3H2/m3MEC·d) rates were highly significant when considering the saline operating conditions. A microbial analysis revealed an important enrichment in the anodic biofilm with five main bacterial groups: 44% Proteobacteria, 32% Bacteroidetes, 18% Firmicutes and 5% Spirochaetes and 1% Actinobacteria. Of special interest is the emergence within the Proteobacteria phylum of the recently described halophilic anode-respiring bacteria Geoalkalibacter (unk. species), with a relative abundance up to 14%. These results provide for the first time a noteworthy alternative for the treatment of saline effluents and continuous production of H2.","container-title":"Water Research","DOI":"10.1016/j.watres.2015.05.041","ISSN":"0043-1354","journalAbbreviation":"Water Research","language":"en","page":"149-156","source":"ScienceDirect","title":"Long-term continuous production of H2 in a microbial electrolysis cell (MEC) treating saline wastewater","volume":"81","author":[{"family":"Carmona-Martínez","given":"Alessandro A."},{"family":"Trably","given":"Eric"},{"family":"Milferstedt","given":"Kim"},{"family":"Lacroix","given":"Rémy"},{"family":"Etcheverry","given":"Luc"},{"family":"Bernet","given":"Nicolas"}],"issued":{"date-parts":[["2015",9,15]]}}}],"schema":"https://github.com/citation-style-language/schema/raw/master/csl-citation.json"} </w:instrText>
      </w:r>
      <w:r w:rsidRPr="00643E01">
        <w:fldChar w:fldCharType="separate"/>
      </w:r>
      <w:r w:rsidRPr="00643E01">
        <w:t>(Carmona-Martínez et al., 2015)</w:t>
      </w:r>
      <w:r w:rsidRPr="00643E01">
        <w:fldChar w:fldCharType="end"/>
      </w:r>
      <w:r w:rsidRPr="00643E01">
        <w:t xml:space="preserve">. Acetylene and ethylene were measured using a Perkin Elmer Clarus 480 GC equipped with RT-U-Bond and RT-Msieve 5Å columns with TCD and He as carrier gas as described in a previous work </w:t>
      </w:r>
      <w:r w:rsidRPr="00643E01">
        <w:fldChar w:fldCharType="begin"/>
      </w:r>
      <w:r w:rsidRPr="00643E01">
        <w:instrText xml:space="preserve"> ADDIN ZOTERO_ITEM CSL_CITATION {"citationID":"JhqGzbrn","properties":{"formattedCitation":"(Carmona-Mart\\uc0\\u237{}nez et al., 2015)","plainCitation":"(Carmona-Martínez et al., 2015)","noteIndex":0},"citationItems":[{"id":775,"uris":["http://zotero.org/users/local/ahqjqVuV/items/I2K2T6UY"],"itemData":{"id":775,"type":"article-journal","abstract":"A biofilm-based 4 L two chamber microbial electrolysis cell (MEC) was continuously fed with acetate under saline conditions (35 g/L NaCl) for more than 100 days. The MEC produced a biogas highly enriched in H2 (≥90%). Both current (10.6 ± 0.2 A/m2Anode or 199.1 ± 4.0 A/m3MEC) and H2 production (201.1 ± 7.5 LH2/m2Cathode·d or 0.9 ± 0.0 m3H2/m3MEC·d) rates were highly significant when considering the saline operating conditions. A microbial analysis revealed an important enrichment in the anodic biofilm with five main bacterial groups: 44% Proteobacteria, 32% Bacteroidetes, 18% Firmicutes and 5% Spirochaetes and 1% Actinobacteria. Of special interest is the emergence within the Proteobacteria phylum of the recently described halophilic anode-respiring bacteria Geoalkalibacter (unk. species), with a relative abundance up to 14%. These results provide for the first time a noteworthy alternative for the treatment of saline effluents and continuous production of H2.","container-title":"Water Research","DOI":"10.1016/j.watres.2015.05.041","ISSN":"0043-1354","journalAbbreviation":"Water Research","language":"en","page":"149-156","source":"ScienceDirect","title":"Long-term continuous production of H2 in a microbial electrolysis cell (MEC) treating saline wastewater","volume":"81","author":[{"family":"Carmona-Martínez","given":"Alessandro A."},{"family":"Trably","given":"Eric"},{"family":"Milferstedt","given":"Kim"},{"family":"Lacroix","given":"Rémy"},{"family":"Etcheverry","given":"Luc"},{"family":"Bernet","given":"Nicolas"}],"issued":{"date-parts":[["2015",9,15]]}}}],"schema":"https://github.com/citation-style-language/schema/raw/master/csl-citation.json"} </w:instrText>
      </w:r>
      <w:r w:rsidRPr="00643E01">
        <w:fldChar w:fldCharType="separate"/>
      </w:r>
      <w:r w:rsidRPr="00643E01">
        <w:t>(Carmona-Martínez et al., 2015)</w:t>
      </w:r>
      <w:r w:rsidRPr="00643E01">
        <w:fldChar w:fldCharType="end"/>
      </w:r>
      <w:r w:rsidRPr="00643E01">
        <w:t>.</w:t>
      </w:r>
    </w:p>
    <w:p w14:paraId="0B12DC38" w14:textId="2A21F19A" w:rsidR="00340F32" w:rsidRPr="00456C92" w:rsidRDefault="00643E01" w:rsidP="00456C92">
      <w:pPr>
        <w:pStyle w:val="PCJtext"/>
        <w:rPr>
          <w:highlight w:val="yellow"/>
        </w:rPr>
      </w:pPr>
      <w:r w:rsidRPr="00643E01">
        <w:t>The acetylene reduction assay (ARA) was performed to quantify the rate of N</w:t>
      </w:r>
      <w:r w:rsidRPr="00643E01">
        <w:rPr>
          <w:vertAlign w:val="subscript"/>
        </w:rPr>
        <w:t>2</w:t>
      </w:r>
      <w:r w:rsidRPr="00643E01">
        <w:t xml:space="preserve"> fixation using the ability of nitrogenases to reduce acetylene to ethylene. This reaction occurs at a rate proportional to the rate of N</w:t>
      </w:r>
      <w:r w:rsidRPr="00643E01">
        <w:rPr>
          <w:vertAlign w:val="subscript"/>
        </w:rPr>
        <w:t>2</w:t>
      </w:r>
      <w:r w:rsidRPr="00643E01">
        <w:t xml:space="preserve"> fixation according to the theoretical ratio C</w:t>
      </w:r>
      <w:r w:rsidRPr="00643E01">
        <w:rPr>
          <w:vertAlign w:val="subscript"/>
        </w:rPr>
        <w:t>2</w:t>
      </w:r>
      <w:r w:rsidRPr="00643E01">
        <w:t>H</w:t>
      </w:r>
      <w:r w:rsidRPr="00643E01">
        <w:rPr>
          <w:vertAlign w:val="subscript"/>
        </w:rPr>
        <w:t>2</w:t>
      </w:r>
      <w:r w:rsidRPr="00643E01">
        <w:t>:N</w:t>
      </w:r>
      <w:r w:rsidRPr="00643E01">
        <w:rPr>
          <w:vertAlign w:val="subscript"/>
        </w:rPr>
        <w:t>2</w:t>
      </w:r>
      <w:r w:rsidRPr="00643E01">
        <w:t xml:space="preserve"> (3:1) </w:t>
      </w:r>
      <w:r w:rsidRPr="00643E01">
        <w:fldChar w:fldCharType="begin"/>
      </w:r>
      <w:r w:rsidRPr="00643E01">
        <w:instrText xml:space="preserve"> ADDIN ZOTERO_ITEM CSL_CITATION {"citationID":"t2ebb2ru","properties":{"formattedCitation":"(Bergersen, 1970)","plainCitation":"(Bergersen, 1970)","noteIndex":0},"citationItems":[{"id":298,"uris":["http://zotero.org/users/local/ahqjqVuV/items/BQSK3MC4"],"itemData":{"id":298,"type":"article-journal","abstract":"Acetylene.reduction activity of detached soybean nodules was positively correlated with the nitrogen content of the host plants grown in nitrogen-free media. Acetylene reduction by nodulated root systems was related to light intensity preceding sampling; activity of detached nodules was lower and less influenced by light. Comparison of acetylene reduction and 15N 2 uptake by detached soybean nodules gave ratios of acetylene reduced to nitrogen fixed (C2~: NHs ratio) ranging from 2·7 to 4·2 in different experiments. The mean value for four experiments was 3·3±0·6 (S.E.). Different effects of oxygen were obtained with detached soybean nodules when 0·1 atm nitrogen and 0·1 atm acetylene were used as substrates. When the acetylene concentration was reduced to 0·005 atm the effects upon both assays were similar but the ratio of the two assays was still affected by p02.","container-title":"Australian Journal of Biological Sciences","DOI":"10.1071/bi9701015","issue":"4","journalAbbreviation":"Aust. Jnl. Of Bio. Sci.","language":"en","note":"number: 4\npublisher: CSIRO PUBLISHING","page":"1015-1026","source":"www.publish.csiro.au","title":"The Quantitative Relationship between Nitrogen Fixation and the Acetylene-Reduction Assay","volume":"23","author":[{"family":"Bergersen","given":"F. J."}],"issued":{"date-parts":[["1970"]]}}}],"schema":"https://github.com/citation-style-language/schema/raw/master/csl-citation.json"} </w:instrText>
      </w:r>
      <w:r w:rsidRPr="00643E01">
        <w:fldChar w:fldCharType="separate"/>
      </w:r>
      <w:r w:rsidRPr="00643E01">
        <w:t>(Bergersen, 1970)</w:t>
      </w:r>
      <w:r w:rsidRPr="00643E01">
        <w:fldChar w:fldCharType="end"/>
      </w:r>
      <w:r w:rsidRPr="00643E01">
        <w:t>. The ARA was performed only after 18 batch cycles for H</w:t>
      </w:r>
      <w:r w:rsidRPr="00643E01">
        <w:rPr>
          <w:vertAlign w:val="subscript"/>
        </w:rPr>
        <w:t>2</w:t>
      </w:r>
      <w:r w:rsidR="00824010">
        <w:t>-fed</w:t>
      </w:r>
      <w:r w:rsidRPr="00643E01">
        <w:t xml:space="preserve"> enrichment</w:t>
      </w:r>
      <w:r w:rsidR="00824010">
        <w:t xml:space="preserve"> (H</w:t>
      </w:r>
      <w:r w:rsidR="00824010">
        <w:rPr>
          <w:vertAlign w:val="subscript"/>
        </w:rPr>
        <w:t>2</w:t>
      </w:r>
      <w:r w:rsidR="00824010">
        <w:t>E)</w:t>
      </w:r>
      <w:r w:rsidRPr="00643E01">
        <w:t xml:space="preserve"> and 11 batch cycles in polarized cathode enrichment</w:t>
      </w:r>
      <w:r w:rsidR="00824010">
        <w:t xml:space="preserve"> (PCE)</w:t>
      </w:r>
      <w:r w:rsidRPr="00643E01">
        <w:t xml:space="preserve"> fed with CO</w:t>
      </w:r>
      <w:r w:rsidRPr="00643E01">
        <w:rPr>
          <w:vertAlign w:val="subscript"/>
        </w:rPr>
        <w:t>2</w:t>
      </w:r>
      <w:r w:rsidRPr="00643E01">
        <w:t xml:space="preserve"> (340 days). </w:t>
      </w:r>
      <w:r w:rsidR="00C30A39" w:rsidRPr="00456C92">
        <w:rPr>
          <w:highlight w:val="yellow"/>
        </w:rPr>
        <w:t>Acetylene concentration were calculated as follow</w:t>
      </w:r>
      <w:r w:rsidR="001A3D04">
        <w:rPr>
          <w:highlight w:val="yellow"/>
        </w:rPr>
        <w:t xml:space="preserve"> </w:t>
      </w:r>
      <w:r w:rsidR="00C30A39" w:rsidRPr="00456C92">
        <w:rPr>
          <w:highlight w:val="yellow"/>
        </w:rPr>
        <w:t xml:space="preserve">: </w:t>
      </w:r>
    </w:p>
    <w:p w14:paraId="2B7CB6E7" w14:textId="77777777" w:rsidR="00824010" w:rsidRPr="006C5138" w:rsidRDefault="00340F32" w:rsidP="00824010">
      <w:pPr>
        <w:spacing w:line="240" w:lineRule="auto"/>
        <w:jc w:val="both"/>
        <w:rPr>
          <w:rFonts w:ascii="Segoe UI" w:eastAsia="Times New Roman" w:hAnsi="Segoe UI" w:cs="Segoe UI"/>
          <w:color w:val="212121"/>
          <w:sz w:val="23"/>
          <w:szCs w:val="23"/>
          <w:highlight w:val="yellow"/>
        </w:rPr>
      </w:pPr>
      <w:r w:rsidRPr="00456C92">
        <w:rPr>
          <w:sz w:val="18"/>
          <w:highlight w:val="yellow"/>
        </w:rPr>
        <w:t>Eq. 7</w:t>
      </w:r>
      <w:r w:rsidRPr="00456C92">
        <w:rPr>
          <w:sz w:val="18"/>
          <w:highlight w:val="yellow"/>
        </w:rPr>
        <w:tab/>
      </w:r>
      <m:oMath>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n</m:t>
            </m:r>
          </m:e>
          <m:sub>
            <m:r>
              <w:rPr>
                <w:rFonts w:ascii="Cambria Math" w:eastAsia="Times New Roman" w:hAnsi="Cambria Math" w:cs="Segoe UI"/>
                <w:color w:val="212121"/>
                <w:sz w:val="23"/>
                <w:szCs w:val="23"/>
                <w:highlight w:val="yellow"/>
              </w:rPr>
              <m:t>C2H4</m:t>
            </m:r>
          </m:sub>
        </m:sSub>
        <m:r>
          <w:rPr>
            <w:rFonts w:ascii="Cambria Math" w:eastAsia="Times New Roman" w:hAnsi="Cambria Math" w:cs="Segoe UI"/>
            <w:color w:val="212121"/>
            <w:sz w:val="23"/>
            <w:szCs w:val="23"/>
            <w:highlight w:val="yellow"/>
          </w:rPr>
          <m:t>=</m:t>
        </m:r>
        <m:f>
          <m:fPr>
            <m:ctrlPr>
              <w:rPr>
                <w:rFonts w:ascii="Cambria Math" w:eastAsia="Times New Roman" w:hAnsi="Cambria Math" w:cs="Segoe UI"/>
                <w:i/>
                <w:color w:val="212121"/>
                <w:sz w:val="23"/>
                <w:szCs w:val="23"/>
                <w:highlight w:val="yellow"/>
              </w:rPr>
            </m:ctrlPr>
          </m:fPr>
          <m:num>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P</m:t>
                </m:r>
              </m:e>
              <m:sub>
                <m:r>
                  <w:rPr>
                    <w:rFonts w:ascii="Cambria Math" w:eastAsia="Times New Roman" w:hAnsi="Cambria Math" w:cs="Segoe UI"/>
                    <w:color w:val="212121"/>
                    <w:sz w:val="23"/>
                    <w:szCs w:val="23"/>
                    <w:highlight w:val="yellow"/>
                  </w:rPr>
                  <m:t>NaOH</m:t>
                </m:r>
              </m:sub>
            </m:sSub>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V</m:t>
                </m:r>
              </m:e>
              <m:sub>
                <m:r>
                  <w:rPr>
                    <w:rFonts w:ascii="Cambria Math" w:eastAsia="Times New Roman" w:hAnsi="Cambria Math" w:cs="Segoe UI"/>
                    <w:color w:val="212121"/>
                    <w:sz w:val="23"/>
                    <w:szCs w:val="23"/>
                    <w:highlight w:val="yellow"/>
                  </w:rPr>
                  <m:t>C2H4</m:t>
                </m:r>
              </m:sub>
            </m:sSub>
          </m:num>
          <m:den>
            <m:r>
              <w:rPr>
                <w:rFonts w:ascii="Cambria Math" w:eastAsia="Times New Roman" w:hAnsi="Cambria Math" w:cs="Segoe UI"/>
                <w:color w:val="212121"/>
                <w:sz w:val="23"/>
                <w:szCs w:val="23"/>
                <w:highlight w:val="yellow"/>
              </w:rPr>
              <m:t>RT</m:t>
            </m:r>
          </m:den>
        </m:f>
        <m:r>
          <w:rPr>
            <w:rFonts w:ascii="Cambria Math" w:eastAsia="Times New Roman" w:hAnsi="Cambria Math" w:cs="Segoe UI"/>
            <w:color w:val="212121"/>
            <w:sz w:val="23"/>
            <w:szCs w:val="23"/>
            <w:highlight w:val="yellow"/>
          </w:rPr>
          <m:t>=</m:t>
        </m:r>
        <m:f>
          <m:fPr>
            <m:ctrlPr>
              <w:rPr>
                <w:rFonts w:ascii="Cambria Math" w:eastAsia="Times New Roman" w:hAnsi="Cambria Math" w:cs="Segoe UI"/>
                <w:i/>
                <w:color w:val="212121"/>
                <w:sz w:val="23"/>
                <w:szCs w:val="23"/>
                <w:highlight w:val="yellow"/>
              </w:rPr>
            </m:ctrlPr>
          </m:fPr>
          <m:num>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(P</m:t>
                </m:r>
              </m:e>
              <m:sub>
                <m:r>
                  <w:rPr>
                    <w:rFonts w:ascii="Cambria Math" w:eastAsia="Times New Roman" w:hAnsi="Cambria Math" w:cs="Segoe UI"/>
                    <w:color w:val="212121"/>
                    <w:sz w:val="23"/>
                    <w:szCs w:val="23"/>
                    <w:highlight w:val="yellow"/>
                  </w:rPr>
                  <m:t>total</m:t>
                </m:r>
              </m:sub>
            </m:sSub>
            <m:r>
              <w:rPr>
                <w:rFonts w:ascii="Cambria Math" w:eastAsia="Times New Roman" w:hAnsi="Cambria Math" w:cs="Segoe UI"/>
                <w:color w:val="212121"/>
                <w:sz w:val="23"/>
                <w:szCs w:val="23"/>
                <w:highlight w:val="yellow"/>
              </w:rPr>
              <m:t>-</m:t>
            </m:r>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P</m:t>
                </m:r>
              </m:e>
              <m:sub>
                <m:r>
                  <w:rPr>
                    <w:rFonts w:ascii="Cambria Math" w:eastAsia="Times New Roman" w:hAnsi="Cambria Math" w:cs="Segoe UI"/>
                    <w:color w:val="212121"/>
                    <w:sz w:val="23"/>
                    <w:szCs w:val="23"/>
                    <w:highlight w:val="yellow"/>
                  </w:rPr>
                  <m:t>CO2</m:t>
                </m:r>
              </m:sub>
            </m:sSub>
            <m:r>
              <w:rPr>
                <w:rFonts w:ascii="Cambria Math" w:eastAsia="Times New Roman" w:hAnsi="Cambria Math" w:cs="Segoe UI"/>
                <w:color w:val="212121"/>
                <w:sz w:val="23"/>
                <w:szCs w:val="23"/>
                <w:highlight w:val="yellow"/>
              </w:rPr>
              <m:t>)×V×</m:t>
            </m:r>
            <m:sSub>
              <m:sSubPr>
                <m:ctrlPr>
                  <w:rPr>
                    <w:rFonts w:ascii="Cambria Math" w:eastAsia="Times New Roman" w:hAnsi="Cambria Math" w:cs="Segoe UI"/>
                    <w:i/>
                    <w:color w:val="212121"/>
                    <w:sz w:val="23"/>
                    <w:szCs w:val="23"/>
                  </w:rPr>
                </m:ctrlPr>
              </m:sSubPr>
              <m:e>
                <m:r>
                  <w:rPr>
                    <w:rFonts w:ascii="Cambria Math" w:eastAsia="Times New Roman" w:hAnsi="Cambria Math" w:cs="Segoe UI"/>
                    <w:color w:val="212121"/>
                    <w:sz w:val="23"/>
                    <w:szCs w:val="23"/>
                  </w:rPr>
                  <m:t>%</m:t>
                </m:r>
              </m:e>
              <m:sub>
                <m:r>
                  <w:rPr>
                    <w:rFonts w:ascii="Cambria Math" w:eastAsia="Times New Roman" w:hAnsi="Cambria Math" w:cs="Segoe UI"/>
                    <w:color w:val="212121"/>
                    <w:sz w:val="23"/>
                    <w:szCs w:val="23"/>
                  </w:rPr>
                  <m:t>C2H4</m:t>
                </m:r>
              </m:sub>
            </m:sSub>
          </m:num>
          <m:den>
            <m:r>
              <w:rPr>
                <w:rFonts w:ascii="Cambria Math" w:eastAsia="Times New Roman" w:hAnsi="Cambria Math" w:cs="Segoe UI"/>
                <w:color w:val="212121"/>
                <w:sz w:val="23"/>
                <w:szCs w:val="23"/>
                <w:highlight w:val="yellow"/>
              </w:rPr>
              <m:t>RT</m:t>
            </m:r>
          </m:den>
        </m:f>
      </m:oMath>
    </w:p>
    <w:p w14:paraId="6A817A68" w14:textId="77777777" w:rsidR="00824010" w:rsidRPr="006C5138" w:rsidRDefault="00824010" w:rsidP="00127A82">
      <w:pPr>
        <w:pStyle w:val="PCJtext"/>
        <w:rPr>
          <w:highlight w:val="yellow"/>
        </w:rPr>
      </w:pPr>
      <w:r w:rsidRPr="006C5138">
        <w:rPr>
          <w:highlight w:val="yellow"/>
        </w:rPr>
        <w:t xml:space="preserve">With </w:t>
      </w:r>
      <m:oMath>
        <m:sSub>
          <m:sSubPr>
            <m:ctrlPr>
              <w:rPr>
                <w:rFonts w:ascii="Cambria Math" w:hAnsi="Cambria Math"/>
                <w:i/>
                <w:highlight w:val="yellow"/>
              </w:rPr>
            </m:ctrlPr>
          </m:sSubPr>
          <m:e>
            <m:r>
              <w:rPr>
                <w:rFonts w:ascii="Cambria Math" w:hAnsi="Cambria Math"/>
                <w:highlight w:val="yellow"/>
              </w:rPr>
              <m:t>(P</m:t>
            </m:r>
          </m:e>
          <m:sub>
            <m:r>
              <w:rPr>
                <w:rFonts w:ascii="Cambria Math" w:hAnsi="Cambria Math"/>
                <w:highlight w:val="yellow"/>
              </w:rPr>
              <m:t>total</m:t>
            </m:r>
          </m:sub>
        </m:sSub>
      </m:oMath>
      <w:r w:rsidRPr="006C5138">
        <w:rPr>
          <w:highlight w:val="yellow"/>
        </w:rPr>
        <w:t xml:space="preserve"> the pressure in headspace, </w:t>
      </w:r>
      <m:oMath>
        <m:sSub>
          <m:sSubPr>
            <m:ctrlPr>
              <w:rPr>
                <w:rFonts w:ascii="Cambria Math" w:hAnsi="Cambria Math"/>
                <w:i/>
                <w:highlight w:val="yellow"/>
              </w:rPr>
            </m:ctrlPr>
          </m:sSubPr>
          <m:e>
            <m:r>
              <w:rPr>
                <w:rFonts w:ascii="Cambria Math" w:hAnsi="Cambria Math"/>
                <w:highlight w:val="yellow"/>
              </w:rPr>
              <m:t>P</m:t>
            </m:r>
          </m:e>
          <m:sub>
            <m:r>
              <w:rPr>
                <w:rFonts w:ascii="Cambria Math" w:hAnsi="Cambria Math"/>
                <w:highlight w:val="yellow"/>
              </w:rPr>
              <m:t>CO2</m:t>
            </m:r>
          </m:sub>
        </m:sSub>
      </m:oMath>
      <w:r w:rsidRPr="006C5138">
        <w:rPr>
          <w:highlight w:val="yellow"/>
        </w:rPr>
        <w:t xml:space="preserve"> the partial pressure of CO</w:t>
      </w:r>
      <w:r w:rsidRPr="006C5138">
        <w:rPr>
          <w:highlight w:val="yellow"/>
          <w:vertAlign w:val="subscript"/>
        </w:rPr>
        <w:t>2</w:t>
      </w:r>
      <w:r w:rsidRPr="006C5138">
        <w:rPr>
          <w:highlight w:val="yellow"/>
        </w:rPr>
        <w:t xml:space="preserve"> measured without CO</w:t>
      </w:r>
      <w:r w:rsidRPr="00F50B2F">
        <w:rPr>
          <w:highlight w:val="yellow"/>
          <w:vertAlign w:val="subscript"/>
        </w:rPr>
        <w:t>2</w:t>
      </w:r>
      <w:r>
        <w:rPr>
          <w:highlight w:val="yellow"/>
        </w:rPr>
        <w:t xml:space="preserve"> trap, </w:t>
      </w:r>
      <m:oMath>
        <m:r>
          <w:rPr>
            <w:rFonts w:ascii="Cambria Math" w:hAnsi="Cambria Math"/>
            <w:highlight w:val="yellow"/>
          </w:rPr>
          <m:t>V</m:t>
        </m:r>
      </m:oMath>
      <w:r w:rsidRPr="006C5138">
        <w:rPr>
          <w:highlight w:val="yellow"/>
        </w:rPr>
        <w:t xml:space="preserve"> </w:t>
      </w:r>
      <w:r>
        <w:rPr>
          <w:highlight w:val="yellow"/>
        </w:rPr>
        <w:t>the volume of gas</w:t>
      </w:r>
      <w:r w:rsidRPr="006C5138">
        <w:rPr>
          <w:highlight w:val="yellow"/>
        </w:rPr>
        <w:t xml:space="preserve"> in headspace</w:t>
      </w:r>
      <w:r>
        <w:rPr>
          <w:highlight w:val="yellow"/>
        </w:rPr>
        <w:t xml:space="preserve">, </w:t>
      </w:r>
      <m:oMath>
        <m:sSub>
          <m:sSubPr>
            <m:ctrlPr>
              <w:rPr>
                <w:rFonts w:ascii="Cambria Math" w:hAnsi="Cambria Math"/>
                <w:i/>
                <w:highlight w:val="yellow"/>
              </w:rPr>
            </m:ctrlPr>
          </m:sSubPr>
          <m:e>
            <m:r>
              <w:rPr>
                <w:rFonts w:ascii="Cambria Math" w:hAnsi="Cambria Math"/>
                <w:highlight w:val="yellow"/>
              </w:rPr>
              <m:t>%</m:t>
            </m:r>
          </m:e>
          <m:sub>
            <m:r>
              <w:rPr>
                <w:rFonts w:ascii="Cambria Math" w:hAnsi="Cambria Math"/>
                <w:highlight w:val="yellow"/>
              </w:rPr>
              <m:t>C2H4</m:t>
            </m:r>
          </m:sub>
        </m:sSub>
      </m:oMath>
      <w:r>
        <w:rPr>
          <w:highlight w:val="yellow"/>
        </w:rPr>
        <w:t xml:space="preserve"> the part of C</w:t>
      </w:r>
      <w:r>
        <w:rPr>
          <w:highlight w:val="yellow"/>
          <w:vertAlign w:val="subscript"/>
        </w:rPr>
        <w:t>2</w:t>
      </w:r>
      <w:r>
        <w:rPr>
          <w:highlight w:val="yellow"/>
        </w:rPr>
        <w:t>H</w:t>
      </w:r>
      <w:r>
        <w:rPr>
          <w:highlight w:val="yellow"/>
          <w:vertAlign w:val="subscript"/>
        </w:rPr>
        <w:t>4</w:t>
      </w:r>
      <w:r>
        <w:rPr>
          <w:highlight w:val="yellow"/>
        </w:rPr>
        <w:t xml:space="preserve"> measured by GC-TCD in headspace,</w:t>
      </w:r>
      <w:r w:rsidRPr="006C5138">
        <w:rPr>
          <w:highlight w:val="yellow"/>
        </w:rPr>
        <w:t xml:space="preserve"> R the perfect gas constant and T, the temperature of the reactor.</w:t>
      </w:r>
    </w:p>
    <w:p w14:paraId="655C3C74" w14:textId="1E047156" w:rsidR="00C30A39" w:rsidRPr="00456C92" w:rsidRDefault="00C30A39" w:rsidP="00127A82">
      <w:pPr>
        <w:pStyle w:val="PCJtext"/>
        <w:rPr>
          <w:highlight w:val="yellow"/>
        </w:rPr>
      </w:pPr>
      <w:r w:rsidRPr="00456C92">
        <w:rPr>
          <w:highlight w:val="yellow"/>
        </w:rPr>
        <w:t xml:space="preserve">And Acetylene production rate were calculated following next equation: </w:t>
      </w:r>
    </w:p>
    <w:p w14:paraId="7A1774C2" w14:textId="4C5EBD68" w:rsidR="00C30A39" w:rsidRPr="00456C92" w:rsidRDefault="00340F32" w:rsidP="00C30A39">
      <w:pPr>
        <w:spacing w:line="240" w:lineRule="auto"/>
        <w:jc w:val="both"/>
        <w:rPr>
          <w:rFonts w:ascii="Segoe UI" w:eastAsia="Times New Roman" w:hAnsi="Segoe UI" w:cs="Segoe UI"/>
          <w:color w:val="212121"/>
          <w:sz w:val="23"/>
          <w:szCs w:val="23"/>
          <w:highlight w:val="yellow"/>
        </w:rPr>
      </w:pPr>
      <w:r w:rsidRPr="00456C92">
        <w:rPr>
          <w:sz w:val="18"/>
          <w:highlight w:val="yellow"/>
        </w:rPr>
        <w:t>Eq. 8</w:t>
      </w:r>
      <w:r w:rsidRPr="00456C92">
        <w:rPr>
          <w:sz w:val="18"/>
          <w:highlight w:val="yellow"/>
        </w:rPr>
        <w:tab/>
      </w:r>
      <m:oMath>
        <m:r>
          <w:rPr>
            <w:rFonts w:ascii="Cambria Math" w:eastAsia="Times New Roman" w:hAnsi="Cambria Math" w:cs="Segoe UI"/>
            <w:color w:val="212121"/>
            <w:sz w:val="23"/>
            <w:szCs w:val="23"/>
            <w:highlight w:val="yellow"/>
          </w:rPr>
          <m:t>∆</m:t>
        </m:r>
        <m:d>
          <m:dPr>
            <m:begChr m:val="["/>
            <m:endChr m:val="]"/>
            <m:ctrlPr>
              <w:rPr>
                <w:rFonts w:ascii="Cambria Math" w:eastAsia="Times New Roman" w:hAnsi="Cambria Math" w:cs="Segoe UI"/>
                <w:i/>
                <w:color w:val="212121"/>
                <w:sz w:val="23"/>
                <w:szCs w:val="23"/>
                <w:highlight w:val="yellow"/>
              </w:rPr>
            </m:ctrlPr>
          </m:dPr>
          <m:e>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C</m:t>
                </m:r>
              </m:e>
              <m:sub>
                <m:r>
                  <w:rPr>
                    <w:rFonts w:ascii="Cambria Math" w:eastAsia="Times New Roman" w:hAnsi="Cambria Math" w:cs="Segoe UI"/>
                    <w:color w:val="212121"/>
                    <w:sz w:val="23"/>
                    <w:szCs w:val="23"/>
                    <w:highlight w:val="yellow"/>
                  </w:rPr>
                  <m:t>2</m:t>
                </m:r>
              </m:sub>
            </m:sSub>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H</m:t>
                </m:r>
              </m:e>
              <m:sub>
                <m:r>
                  <w:rPr>
                    <w:rFonts w:ascii="Cambria Math" w:eastAsia="Times New Roman" w:hAnsi="Cambria Math" w:cs="Segoe UI"/>
                    <w:color w:val="212121"/>
                    <w:sz w:val="23"/>
                    <w:szCs w:val="23"/>
                    <w:highlight w:val="yellow"/>
                  </w:rPr>
                  <m:t>4</m:t>
                </m:r>
              </m:sub>
            </m:sSub>
          </m:e>
        </m:d>
        <m:r>
          <w:rPr>
            <w:rFonts w:ascii="Cambria Math" w:eastAsia="Times New Roman" w:hAnsi="Cambria Math" w:cs="Segoe UI"/>
            <w:color w:val="212121"/>
            <w:sz w:val="23"/>
            <w:szCs w:val="23"/>
            <w:highlight w:val="yellow"/>
          </w:rPr>
          <m:t>=</m:t>
        </m:r>
        <m:f>
          <m:fPr>
            <m:ctrlPr>
              <w:rPr>
                <w:rFonts w:ascii="Cambria Math" w:eastAsia="Times New Roman" w:hAnsi="Cambria Math" w:cs="Segoe UI"/>
                <w:i/>
                <w:color w:val="212121"/>
                <w:sz w:val="23"/>
                <w:szCs w:val="23"/>
                <w:highlight w:val="yellow"/>
              </w:rPr>
            </m:ctrlPr>
          </m:fPr>
          <m:num>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m:t>
                </m:r>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C</m:t>
                    </m:r>
                  </m:e>
                  <m:sub>
                    <m:r>
                      <w:rPr>
                        <w:rFonts w:ascii="Cambria Math" w:eastAsia="Times New Roman" w:hAnsi="Cambria Math" w:cs="Segoe UI"/>
                        <w:color w:val="212121"/>
                        <w:sz w:val="23"/>
                        <w:szCs w:val="23"/>
                        <w:highlight w:val="yellow"/>
                      </w:rPr>
                      <m:t>2</m:t>
                    </m:r>
                  </m:sub>
                </m:sSub>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H</m:t>
                    </m:r>
                  </m:e>
                  <m:sub>
                    <m:r>
                      <w:rPr>
                        <w:rFonts w:ascii="Cambria Math" w:eastAsia="Times New Roman" w:hAnsi="Cambria Math" w:cs="Segoe UI"/>
                        <w:color w:val="212121"/>
                        <w:sz w:val="23"/>
                        <w:szCs w:val="23"/>
                        <w:highlight w:val="yellow"/>
                      </w:rPr>
                      <m:t>4</m:t>
                    </m:r>
                  </m:sub>
                </m:sSub>
                <m:r>
                  <w:rPr>
                    <w:rFonts w:ascii="Cambria Math" w:eastAsia="Times New Roman" w:hAnsi="Cambria Math" w:cs="Segoe UI"/>
                    <w:color w:val="212121"/>
                    <w:sz w:val="23"/>
                    <w:szCs w:val="23"/>
                    <w:highlight w:val="yellow"/>
                  </w:rPr>
                  <m:t>]</m:t>
                </m:r>
              </m:e>
              <m:sub>
                <m:r>
                  <w:rPr>
                    <w:rFonts w:ascii="Cambria Math" w:eastAsia="Times New Roman" w:hAnsi="Cambria Math" w:cs="Segoe UI"/>
                    <w:color w:val="212121"/>
                    <w:sz w:val="23"/>
                    <w:szCs w:val="23"/>
                    <w:highlight w:val="yellow"/>
                  </w:rPr>
                  <m:t>t1</m:t>
                </m:r>
              </m:sub>
            </m:sSub>
            <m:r>
              <w:rPr>
                <w:rFonts w:ascii="Cambria Math" w:eastAsia="Times New Roman" w:hAnsi="Cambria Math" w:cs="Segoe UI"/>
                <w:color w:val="212121"/>
                <w:sz w:val="23"/>
                <w:szCs w:val="23"/>
                <w:highlight w:val="yellow"/>
              </w:rPr>
              <m:t>-</m:t>
            </m:r>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m:t>
                </m:r>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C</m:t>
                    </m:r>
                  </m:e>
                  <m:sub>
                    <m:r>
                      <w:rPr>
                        <w:rFonts w:ascii="Cambria Math" w:eastAsia="Times New Roman" w:hAnsi="Cambria Math" w:cs="Segoe UI"/>
                        <w:color w:val="212121"/>
                        <w:sz w:val="23"/>
                        <w:szCs w:val="23"/>
                        <w:highlight w:val="yellow"/>
                      </w:rPr>
                      <m:t>2</m:t>
                    </m:r>
                  </m:sub>
                </m:sSub>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H</m:t>
                    </m:r>
                  </m:e>
                  <m:sub>
                    <m:r>
                      <w:rPr>
                        <w:rFonts w:ascii="Cambria Math" w:eastAsia="Times New Roman" w:hAnsi="Cambria Math" w:cs="Segoe UI"/>
                        <w:color w:val="212121"/>
                        <w:sz w:val="23"/>
                        <w:szCs w:val="23"/>
                        <w:highlight w:val="yellow"/>
                      </w:rPr>
                      <m:t>4</m:t>
                    </m:r>
                  </m:sub>
                </m:sSub>
                <m:r>
                  <w:rPr>
                    <w:rFonts w:ascii="Cambria Math" w:eastAsia="Times New Roman" w:hAnsi="Cambria Math" w:cs="Segoe UI"/>
                    <w:color w:val="212121"/>
                    <w:sz w:val="23"/>
                    <w:szCs w:val="23"/>
                    <w:highlight w:val="yellow"/>
                  </w:rPr>
                  <m:t>]</m:t>
                </m:r>
              </m:e>
              <m:sub>
                <m:r>
                  <w:rPr>
                    <w:rFonts w:ascii="Cambria Math" w:eastAsia="Times New Roman" w:hAnsi="Cambria Math" w:cs="Segoe UI"/>
                    <w:color w:val="212121"/>
                    <w:sz w:val="23"/>
                    <w:szCs w:val="23"/>
                    <w:highlight w:val="yellow"/>
                  </w:rPr>
                  <m:t>t0</m:t>
                </m:r>
              </m:sub>
            </m:sSub>
          </m:num>
          <m:den>
            <m:r>
              <w:rPr>
                <w:rFonts w:ascii="Cambria Math" w:eastAsia="Times New Roman" w:hAnsi="Cambria Math" w:cs="Segoe UI"/>
                <w:color w:val="212121"/>
                <w:sz w:val="23"/>
                <w:szCs w:val="23"/>
                <w:highlight w:val="yellow"/>
              </w:rPr>
              <m:t>t1-t0</m:t>
            </m:r>
          </m:den>
        </m:f>
        <m:r>
          <w:rPr>
            <w:rFonts w:ascii="Cambria Math" w:eastAsia="Times New Roman" w:hAnsi="Cambria Math" w:cs="Segoe UI"/>
            <w:color w:val="212121"/>
            <w:sz w:val="23"/>
            <w:szCs w:val="23"/>
            <w:highlight w:val="yellow"/>
          </w:rPr>
          <m:t>=</m:t>
        </m:r>
        <m:f>
          <m:fPr>
            <m:ctrlPr>
              <w:rPr>
                <w:rFonts w:ascii="Cambria Math" w:eastAsia="Times New Roman" w:hAnsi="Cambria Math" w:cs="Segoe UI"/>
                <w:i/>
                <w:color w:val="212121"/>
                <w:sz w:val="23"/>
                <w:szCs w:val="23"/>
                <w:highlight w:val="yellow"/>
              </w:rPr>
            </m:ctrlPr>
          </m:fPr>
          <m:num>
            <m:f>
              <m:fPr>
                <m:ctrlPr>
                  <w:rPr>
                    <w:rFonts w:ascii="Cambria Math" w:eastAsia="Times New Roman" w:hAnsi="Cambria Math" w:cs="Segoe UI"/>
                    <w:i/>
                    <w:color w:val="212121"/>
                    <w:sz w:val="23"/>
                    <w:szCs w:val="23"/>
                    <w:highlight w:val="yellow"/>
                  </w:rPr>
                </m:ctrlPr>
              </m:fPr>
              <m:num>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n</m:t>
                    </m:r>
                  </m:e>
                  <m:sub>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C2H4</m:t>
                        </m:r>
                      </m:e>
                      <m:sub>
                        <m:r>
                          <w:rPr>
                            <w:rFonts w:ascii="Cambria Math" w:eastAsia="Times New Roman" w:hAnsi="Cambria Math" w:cs="Segoe UI"/>
                            <w:color w:val="212121"/>
                            <w:sz w:val="23"/>
                            <w:szCs w:val="23"/>
                            <w:highlight w:val="yellow"/>
                          </w:rPr>
                          <m:t>t1</m:t>
                        </m:r>
                      </m:sub>
                    </m:sSub>
                  </m:sub>
                </m:sSub>
              </m:num>
              <m:den>
                <m:r>
                  <w:rPr>
                    <w:rFonts w:ascii="Cambria Math" w:eastAsia="Times New Roman" w:hAnsi="Cambria Math" w:cs="Segoe UI"/>
                    <w:color w:val="212121"/>
                    <w:sz w:val="23"/>
                    <w:szCs w:val="23"/>
                    <w:highlight w:val="yellow"/>
                  </w:rPr>
                  <m:t>V</m:t>
                </m:r>
              </m:den>
            </m:f>
            <m:r>
              <w:rPr>
                <w:rFonts w:ascii="Cambria Math" w:eastAsia="Times New Roman" w:hAnsi="Cambria Math" w:cs="Segoe UI"/>
                <w:color w:val="212121"/>
                <w:sz w:val="23"/>
                <w:szCs w:val="23"/>
                <w:highlight w:val="yellow"/>
              </w:rPr>
              <m:t>-</m:t>
            </m:r>
            <m:f>
              <m:fPr>
                <m:ctrlPr>
                  <w:rPr>
                    <w:rFonts w:ascii="Cambria Math" w:eastAsia="Times New Roman" w:hAnsi="Cambria Math" w:cs="Segoe UI"/>
                    <w:i/>
                    <w:color w:val="212121"/>
                    <w:sz w:val="23"/>
                    <w:szCs w:val="23"/>
                    <w:highlight w:val="yellow"/>
                  </w:rPr>
                </m:ctrlPr>
              </m:fPr>
              <m:num>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n</m:t>
                    </m:r>
                  </m:e>
                  <m:sub>
                    <m:sSub>
                      <m:sSubPr>
                        <m:ctrlPr>
                          <w:rPr>
                            <w:rFonts w:ascii="Cambria Math" w:eastAsia="Times New Roman" w:hAnsi="Cambria Math" w:cs="Segoe UI"/>
                            <w:i/>
                            <w:color w:val="212121"/>
                            <w:sz w:val="23"/>
                            <w:szCs w:val="23"/>
                            <w:highlight w:val="yellow"/>
                          </w:rPr>
                        </m:ctrlPr>
                      </m:sSubPr>
                      <m:e>
                        <m:r>
                          <w:rPr>
                            <w:rFonts w:ascii="Cambria Math" w:eastAsia="Times New Roman" w:hAnsi="Cambria Math" w:cs="Segoe UI"/>
                            <w:color w:val="212121"/>
                            <w:sz w:val="23"/>
                            <w:szCs w:val="23"/>
                            <w:highlight w:val="yellow"/>
                          </w:rPr>
                          <m:t>C2H4</m:t>
                        </m:r>
                      </m:e>
                      <m:sub>
                        <m:r>
                          <w:rPr>
                            <w:rFonts w:ascii="Cambria Math" w:eastAsia="Times New Roman" w:hAnsi="Cambria Math" w:cs="Segoe UI"/>
                            <w:color w:val="212121"/>
                            <w:sz w:val="23"/>
                            <w:szCs w:val="23"/>
                            <w:highlight w:val="yellow"/>
                          </w:rPr>
                          <m:t>t0</m:t>
                        </m:r>
                      </m:sub>
                    </m:sSub>
                  </m:sub>
                </m:sSub>
              </m:num>
              <m:den>
                <m:r>
                  <w:rPr>
                    <w:rFonts w:ascii="Cambria Math" w:eastAsia="Times New Roman" w:hAnsi="Cambria Math" w:cs="Segoe UI"/>
                    <w:color w:val="212121"/>
                    <w:sz w:val="23"/>
                    <w:szCs w:val="23"/>
                    <w:highlight w:val="yellow"/>
                  </w:rPr>
                  <m:t>V</m:t>
                </m:r>
              </m:den>
            </m:f>
          </m:num>
          <m:den>
            <m:r>
              <w:rPr>
                <w:rFonts w:ascii="Cambria Math" w:eastAsia="Times New Roman" w:hAnsi="Cambria Math" w:cs="Segoe UI"/>
                <w:color w:val="212121"/>
                <w:sz w:val="23"/>
                <w:szCs w:val="23"/>
                <w:highlight w:val="yellow"/>
              </w:rPr>
              <m:t>t1-t0</m:t>
            </m:r>
          </m:den>
        </m:f>
      </m:oMath>
    </w:p>
    <w:p w14:paraId="47F1F303" w14:textId="4CB337CA" w:rsidR="00C30A39" w:rsidRPr="006032B8" w:rsidRDefault="00C30A39" w:rsidP="006032B8">
      <w:pPr>
        <w:pStyle w:val="PCJtext"/>
      </w:pPr>
      <w:r w:rsidRPr="00456C92">
        <w:rPr>
          <w:highlight w:val="yellow"/>
        </w:rPr>
        <w:t>With</w:t>
      </w:r>
      <w:r w:rsidR="00824010">
        <w:rPr>
          <w:highlight w:val="yellow"/>
        </w:rPr>
        <w:t xml:space="preserve"> </w:t>
      </w:r>
      <m:oMath>
        <m:r>
          <w:rPr>
            <w:rFonts w:ascii="Cambria Math" w:hAnsi="Cambria Math" w:cs="Segoe UI"/>
            <w:color w:val="212121"/>
            <w:sz w:val="23"/>
            <w:szCs w:val="23"/>
            <w:highlight w:val="yellow"/>
          </w:rPr>
          <m:t>∆</m:t>
        </m:r>
        <m:d>
          <m:dPr>
            <m:begChr m:val="["/>
            <m:endChr m:val="]"/>
            <m:ctrlPr>
              <w:rPr>
                <w:rFonts w:ascii="Cambria Math" w:hAnsi="Cambria Math" w:cs="Segoe UI"/>
                <w:i/>
                <w:color w:val="212121"/>
                <w:sz w:val="23"/>
                <w:szCs w:val="23"/>
                <w:highlight w:val="yellow"/>
              </w:rPr>
            </m:ctrlPr>
          </m:dPr>
          <m:e>
            <m:sSub>
              <m:sSubPr>
                <m:ctrlPr>
                  <w:rPr>
                    <w:rFonts w:ascii="Cambria Math" w:hAnsi="Cambria Math" w:cs="Segoe UI"/>
                    <w:i/>
                    <w:color w:val="212121"/>
                    <w:sz w:val="23"/>
                    <w:szCs w:val="23"/>
                    <w:highlight w:val="yellow"/>
                  </w:rPr>
                </m:ctrlPr>
              </m:sSubPr>
              <m:e>
                <m:r>
                  <w:rPr>
                    <w:rFonts w:ascii="Cambria Math" w:hAnsi="Cambria Math" w:cs="Segoe UI"/>
                    <w:color w:val="212121"/>
                    <w:sz w:val="23"/>
                    <w:szCs w:val="23"/>
                    <w:highlight w:val="yellow"/>
                  </w:rPr>
                  <m:t>C</m:t>
                </m:r>
              </m:e>
              <m:sub>
                <m:r>
                  <w:rPr>
                    <w:rFonts w:ascii="Cambria Math" w:hAnsi="Cambria Math" w:cs="Segoe UI"/>
                    <w:color w:val="212121"/>
                    <w:sz w:val="23"/>
                    <w:szCs w:val="23"/>
                    <w:highlight w:val="yellow"/>
                  </w:rPr>
                  <m:t>2</m:t>
                </m:r>
              </m:sub>
            </m:sSub>
            <m:sSub>
              <m:sSubPr>
                <m:ctrlPr>
                  <w:rPr>
                    <w:rFonts w:ascii="Cambria Math" w:hAnsi="Cambria Math" w:cs="Segoe UI"/>
                    <w:i/>
                    <w:color w:val="212121"/>
                    <w:sz w:val="23"/>
                    <w:szCs w:val="23"/>
                    <w:highlight w:val="yellow"/>
                  </w:rPr>
                </m:ctrlPr>
              </m:sSubPr>
              <m:e>
                <m:r>
                  <w:rPr>
                    <w:rFonts w:ascii="Cambria Math" w:hAnsi="Cambria Math" w:cs="Segoe UI"/>
                    <w:color w:val="212121"/>
                    <w:sz w:val="23"/>
                    <w:szCs w:val="23"/>
                    <w:highlight w:val="yellow"/>
                  </w:rPr>
                  <m:t>H</m:t>
                </m:r>
              </m:e>
              <m:sub>
                <m:r>
                  <w:rPr>
                    <w:rFonts w:ascii="Cambria Math" w:hAnsi="Cambria Math" w:cs="Segoe UI"/>
                    <w:color w:val="212121"/>
                    <w:sz w:val="23"/>
                    <w:szCs w:val="23"/>
                    <w:highlight w:val="yellow"/>
                  </w:rPr>
                  <m:t>4</m:t>
                </m:r>
              </m:sub>
            </m:sSub>
          </m:e>
        </m:d>
      </m:oMath>
      <w:r w:rsidR="00824010">
        <w:rPr>
          <w:color w:val="212121"/>
          <w:sz w:val="23"/>
          <w:szCs w:val="23"/>
          <w:highlight w:val="yellow"/>
        </w:rPr>
        <w:t xml:space="preserve"> the rate of C</w:t>
      </w:r>
      <w:r w:rsidR="00824010">
        <w:rPr>
          <w:color w:val="212121"/>
          <w:sz w:val="23"/>
          <w:szCs w:val="23"/>
          <w:highlight w:val="yellow"/>
          <w:vertAlign w:val="subscript"/>
        </w:rPr>
        <w:t>2</w:t>
      </w:r>
      <w:r w:rsidR="00824010">
        <w:rPr>
          <w:color w:val="212121"/>
          <w:sz w:val="23"/>
          <w:szCs w:val="23"/>
          <w:highlight w:val="yellow"/>
        </w:rPr>
        <w:t>H</w:t>
      </w:r>
      <w:r w:rsidR="00824010">
        <w:rPr>
          <w:color w:val="212121"/>
          <w:sz w:val="23"/>
          <w:szCs w:val="23"/>
          <w:highlight w:val="yellow"/>
          <w:vertAlign w:val="subscript"/>
        </w:rPr>
        <w:t>4</w:t>
      </w:r>
      <w:r w:rsidR="00824010">
        <w:rPr>
          <w:color w:val="212121"/>
          <w:sz w:val="23"/>
          <w:szCs w:val="23"/>
          <w:highlight w:val="yellow"/>
        </w:rPr>
        <w:t xml:space="preserve"> production</w:t>
      </w:r>
      <w:r w:rsidRPr="00456C92">
        <w:rPr>
          <w:highlight w:val="yellow"/>
        </w:rPr>
        <w:t xml:space="preserve"> </w:t>
      </w:r>
      <w:r w:rsidR="00824010">
        <w:rPr>
          <w:highlight w:val="yellow"/>
        </w:rPr>
        <w:t xml:space="preserve">in µmol/L.d, </w:t>
      </w:r>
      <w:r w:rsidRPr="00456C92">
        <w:rPr>
          <w:i/>
          <w:highlight w:val="yellow"/>
        </w:rPr>
        <w:t>t0</w:t>
      </w:r>
      <w:r w:rsidRPr="00456C92">
        <w:rPr>
          <w:highlight w:val="yellow"/>
        </w:rPr>
        <w:t xml:space="preserve"> the last measure without C</w:t>
      </w:r>
      <w:r w:rsidRPr="00456C92">
        <w:rPr>
          <w:highlight w:val="yellow"/>
          <w:vertAlign w:val="subscript"/>
        </w:rPr>
        <w:t>2</w:t>
      </w:r>
      <w:r w:rsidRPr="00456C92">
        <w:rPr>
          <w:highlight w:val="yellow"/>
        </w:rPr>
        <w:t>H</w:t>
      </w:r>
      <w:r w:rsidRPr="00456C92">
        <w:rPr>
          <w:highlight w:val="yellow"/>
          <w:vertAlign w:val="subscript"/>
        </w:rPr>
        <w:t>4</w:t>
      </w:r>
      <w:r w:rsidRPr="00456C92">
        <w:rPr>
          <w:highlight w:val="yellow"/>
        </w:rPr>
        <w:t xml:space="preserve"> observed, </w:t>
      </w:r>
      <w:r w:rsidRPr="00456C92">
        <w:rPr>
          <w:i/>
          <w:highlight w:val="yellow"/>
        </w:rPr>
        <w:t>t1</w:t>
      </w:r>
      <w:r w:rsidRPr="00456C92">
        <w:rPr>
          <w:highlight w:val="yellow"/>
        </w:rPr>
        <w:t xml:space="preserve"> the first measure of C</w:t>
      </w:r>
      <w:r w:rsidRPr="00456C92">
        <w:rPr>
          <w:highlight w:val="yellow"/>
          <w:vertAlign w:val="subscript"/>
        </w:rPr>
        <w:t>2</w:t>
      </w:r>
      <w:r w:rsidRPr="00456C92">
        <w:rPr>
          <w:highlight w:val="yellow"/>
        </w:rPr>
        <w:t>H</w:t>
      </w:r>
      <w:r w:rsidRPr="00456C92">
        <w:rPr>
          <w:highlight w:val="yellow"/>
          <w:vertAlign w:val="subscript"/>
        </w:rPr>
        <w:t>4</w:t>
      </w:r>
      <w:r w:rsidRPr="00456C92">
        <w:rPr>
          <w:highlight w:val="yellow"/>
        </w:rPr>
        <w:t xml:space="preserve"> in headspace and V the volume of liquid w</w:t>
      </w:r>
      <w:r w:rsidR="009F23BD">
        <w:rPr>
          <w:highlight w:val="yellow"/>
        </w:rPr>
        <w:t>h</w:t>
      </w:r>
      <w:r w:rsidRPr="00456C92">
        <w:rPr>
          <w:highlight w:val="yellow"/>
        </w:rPr>
        <w:t>i</w:t>
      </w:r>
      <w:r w:rsidR="009F23BD">
        <w:rPr>
          <w:highlight w:val="yellow"/>
        </w:rPr>
        <w:t>c</w:t>
      </w:r>
      <w:r w:rsidRPr="00456C92">
        <w:rPr>
          <w:highlight w:val="yellow"/>
        </w:rPr>
        <w:t>h is constant between two ARA measurement.</w:t>
      </w:r>
    </w:p>
    <w:p w14:paraId="7B45C479" w14:textId="51C8CFB2" w:rsidR="00643E01" w:rsidRDefault="00643E01" w:rsidP="00643E01">
      <w:pPr>
        <w:pStyle w:val="PCJtext"/>
      </w:pPr>
      <w:r w:rsidRPr="00643E01">
        <w:t>A specific N</w:t>
      </w:r>
      <w:r w:rsidRPr="00643E01">
        <w:rPr>
          <w:vertAlign w:val="subscript"/>
        </w:rPr>
        <w:t>2</w:t>
      </w:r>
      <w:r w:rsidRPr="00643E01">
        <w:t>-fixing activity was then calculated with the N</w:t>
      </w:r>
      <w:r w:rsidRPr="00643E01">
        <w:rPr>
          <w:vertAlign w:val="subscript"/>
        </w:rPr>
        <w:t>2</w:t>
      </w:r>
      <w:r w:rsidRPr="00643E01">
        <w:t xml:space="preserve">-fixing bacteria measured by quantification of the </w:t>
      </w:r>
      <w:r w:rsidRPr="00643E01">
        <w:rPr>
          <w:i/>
        </w:rPr>
        <w:t>nifH</w:t>
      </w:r>
      <w:r w:rsidRPr="00643E01">
        <w:t xml:space="preserve"> gene used as a marker for these bacteria.</w:t>
      </w:r>
      <w:r w:rsidR="001B6031">
        <w:t xml:space="preserve"> </w:t>
      </w:r>
      <w:r w:rsidR="006B19F5" w:rsidRPr="00C13637">
        <w:rPr>
          <w:highlight w:val="yellow"/>
        </w:rPr>
        <w:t>This specific activity corresponds to the rate of C</w:t>
      </w:r>
      <w:r w:rsidR="006B19F5" w:rsidRPr="00C13637">
        <w:rPr>
          <w:highlight w:val="yellow"/>
          <w:vertAlign w:val="subscript"/>
        </w:rPr>
        <w:t>2</w:t>
      </w:r>
      <w:r w:rsidR="006B19F5" w:rsidRPr="00C13637">
        <w:rPr>
          <w:highlight w:val="yellow"/>
        </w:rPr>
        <w:t>H</w:t>
      </w:r>
      <w:r w:rsidR="006B19F5" w:rsidRPr="00C13637">
        <w:rPr>
          <w:highlight w:val="yellow"/>
          <w:vertAlign w:val="subscript"/>
        </w:rPr>
        <w:t>4</w:t>
      </w:r>
      <w:r w:rsidR="006B19F5" w:rsidRPr="00C13637">
        <w:rPr>
          <w:highlight w:val="yellow"/>
        </w:rPr>
        <w:t xml:space="preserve"> produced per bacteria capable of fix N</w:t>
      </w:r>
      <w:r w:rsidR="006B19F5" w:rsidRPr="00C13637">
        <w:rPr>
          <w:highlight w:val="yellow"/>
          <w:vertAlign w:val="subscript"/>
        </w:rPr>
        <w:t>2</w:t>
      </w:r>
      <w:r w:rsidR="006B19F5" w:rsidRPr="00C13637">
        <w:rPr>
          <w:highlight w:val="yellow"/>
        </w:rPr>
        <w:t xml:space="preserve"> measured by qPCR of </w:t>
      </w:r>
      <w:r w:rsidR="006B19F5" w:rsidRPr="00C13637">
        <w:rPr>
          <w:i/>
          <w:highlight w:val="yellow"/>
        </w:rPr>
        <w:t>nifH</w:t>
      </w:r>
      <w:r w:rsidR="006B19F5" w:rsidRPr="00C13637">
        <w:rPr>
          <w:highlight w:val="yellow"/>
        </w:rPr>
        <w:t xml:space="preserve"> gene.</w:t>
      </w:r>
      <w:r w:rsidR="006B19F5">
        <w:rPr>
          <w:highlight w:val="yellow"/>
        </w:rPr>
        <w:t xml:space="preserve"> </w:t>
      </w:r>
      <w:r w:rsidRPr="00643E01">
        <w:t>The acetylene used for the acetylene reduction assay (ARA) was obtained by adding calcium carbide (CaC</w:t>
      </w:r>
      <w:r w:rsidRPr="00643E01">
        <w:rPr>
          <w:vertAlign w:val="subscript"/>
        </w:rPr>
        <w:t>2</w:t>
      </w:r>
      <w:r w:rsidRPr="00643E01">
        <w:t>) in water and recovered in a bag. The acetylene concentration in the bag was then measured by gas chromatography. Gas from the bag was added to each enrichment to reach a composition of 10% V/V acetylene and an equivalent amount of gas was removed from the headspaces. Ethylene production was then daily monitored for 7 days in the microbial electrolysis systems (PCE and nPCE) and 15 in the H</w:t>
      </w:r>
      <w:r w:rsidRPr="00643E01">
        <w:rPr>
          <w:vertAlign w:val="subscript"/>
        </w:rPr>
        <w:t>2</w:t>
      </w:r>
      <w:r w:rsidR="00824010">
        <w:t>E</w:t>
      </w:r>
      <w:r w:rsidRPr="00643E01">
        <w:t xml:space="preserve"> bottles by the Perkin Elmer Clarus 480 GC with TCD. To ensure separation of ethylene from CO</w:t>
      </w:r>
      <w:r w:rsidRPr="00643E01">
        <w:rPr>
          <w:vertAlign w:val="subscript"/>
        </w:rPr>
        <w:t>2</w:t>
      </w:r>
      <w:r w:rsidRPr="00643E01">
        <w:t xml:space="preserve"> on the RT-U-Bond column, a CO</w:t>
      </w:r>
      <w:r w:rsidRPr="00643E01">
        <w:rPr>
          <w:vertAlign w:val="subscript"/>
        </w:rPr>
        <w:t>2</w:t>
      </w:r>
      <w:r w:rsidRPr="00643E01">
        <w:t xml:space="preserve"> trap with sodium hydroxide (6M NaOH) was used at the time of sampling</w:t>
      </w:r>
      <w:r w:rsidR="00824010" w:rsidRPr="00824010">
        <w:t xml:space="preserve"> </w:t>
      </w:r>
      <w:r w:rsidR="00824010" w:rsidRPr="00456C92">
        <w:rPr>
          <w:highlight w:val="yellow"/>
        </w:rPr>
        <w:t>and is taken into account in the calculations</w:t>
      </w:r>
      <w:r w:rsidRPr="00456C92">
        <w:rPr>
          <w:highlight w:val="yellow"/>
        </w:rPr>
        <w:t>.</w:t>
      </w:r>
      <w:r w:rsidRPr="00643E01">
        <w:t xml:space="preserve"> After the ARA method was completed, the headspaces were flushed with N</w:t>
      </w:r>
      <w:r w:rsidRPr="00643E01">
        <w:rPr>
          <w:vertAlign w:val="subscript"/>
        </w:rPr>
        <w:t>2</w:t>
      </w:r>
      <w:r w:rsidRPr="00643E01">
        <w:t xml:space="preserve"> and the gas recycling system was changed.</w:t>
      </w:r>
    </w:p>
    <w:p w14:paraId="3E8F4B98" w14:textId="77777777" w:rsidR="00643E01" w:rsidRPr="00643E01" w:rsidRDefault="00643E01" w:rsidP="00023F62">
      <w:pPr>
        <w:pStyle w:val="PCJSubsection"/>
      </w:pPr>
      <w:r w:rsidRPr="00643E01">
        <w:t>Community sequencing and biomass quantification</w:t>
      </w:r>
    </w:p>
    <w:p w14:paraId="1A53E6F4" w14:textId="77777777" w:rsidR="00643E01" w:rsidRPr="00643E01" w:rsidRDefault="00643E01" w:rsidP="00643E01">
      <w:pPr>
        <w:pStyle w:val="PCJtext"/>
      </w:pPr>
      <w:r w:rsidRPr="00643E01">
        <w:t xml:space="preserve">The microbial communities were quantified using the 16S rDNA qPCR to determine the total bacterial concentration and </w:t>
      </w:r>
      <w:r w:rsidRPr="00643E01">
        <w:rPr>
          <w:i/>
        </w:rPr>
        <w:t>nifH</w:t>
      </w:r>
      <w:r w:rsidRPr="00643E01">
        <w:t xml:space="preserve"> gene qPCR for N</w:t>
      </w:r>
      <w:r w:rsidRPr="00643E01">
        <w:rPr>
          <w:vertAlign w:val="subscript"/>
        </w:rPr>
        <w:t>2</w:t>
      </w:r>
      <w:r w:rsidRPr="00643E01">
        <w:t>-fixing bacteria. In parallel, 16S rDNA sequencing was performed to identify major members of each community. This sequencing was also necessary to convert the amount of 16S rDNA to total bacteria using the rrnDB-5.7 database. To analyze the communities present in suspension, 1.8 mL of sample were collected for qPCR. For the cathodes, 1 cm</w:t>
      </w:r>
      <w:r w:rsidRPr="00643E01">
        <w:rPr>
          <w:vertAlign w:val="superscript"/>
        </w:rPr>
        <w:t>2</w:t>
      </w:r>
      <w:r w:rsidRPr="00643E01">
        <w:t xml:space="preserve"> was recovered at several times. The piece of carbon felt was then chopped with a sterile scalpel before being immersed in 20 mL of sterile inorganic media. 1.8 mL was then recovered after shaking 20 mL of medium to resuspend as much biomass as possible. These samples were then centrifuged 10 min 13500 RPM (12340g). The supernatant was discarded and the pellets retained for DNA extractions. After qPCR, the concentrations measured in the electrode samples were expressed considering the volume of medium.</w:t>
      </w:r>
    </w:p>
    <w:p w14:paraId="1FCFE53A" w14:textId="4CF9A192" w:rsidR="00643E01" w:rsidRPr="00643E01" w:rsidRDefault="00643E01" w:rsidP="00643E01">
      <w:pPr>
        <w:pStyle w:val="PCJtext"/>
      </w:pPr>
      <w:r w:rsidRPr="00643E01">
        <w:lastRenderedPageBreak/>
        <w:t>Genomic DNA was extracted using the PowerSoil™ DNA Isolation Sampling Kit (MoBio Laboratories, Inc., Carlsbad, CA, USA) according to the manufacturer's instructions. The qPCR amplification program was performed in a BioRad CFX96 Real-Time Systems C1000 Touch thermal cycler (Bio-Rad Laboratories, USA). For the analysis of total bacteria, primers 330F (ACGGTCCAGACTCCTACGGG) and 500R (TTACCGCGGCTGCTGGCAC) were used. For the bacteria qPCR mix: SsoAdvanced™ Universal SYBR Green Supermix (Bio-rad Laboratories, USA), primer 330F (2</w:t>
      </w:r>
      <w:r w:rsidR="00275024">
        <w:t>00</w:t>
      </w:r>
      <w:r w:rsidRPr="00643E01">
        <w:t xml:space="preserve"> nM), primer 500R (2</w:t>
      </w:r>
      <w:r w:rsidR="00275024">
        <w:t>00</w:t>
      </w:r>
      <w:r w:rsidRPr="00643E01">
        <w:t xml:space="preserve"> nM), 2 μL of DNA, and water were used to a volume of 12 μL. The qPCR cycle was as follows: incubation for 2 min at 95°C and 40 cycles of dissociation (95°C, 10 s) and elongation (61°C, 20 s) steps. The results were then compared to a standard curve to obtain the copy number of the target in the sample. Both the 16S rDNA concentration of the PCE media and the cathodes are considered in the calculation of the total 16S rDNA concentration of the PCE. These concentrations are used as an indicator of the biomass present and the use of a database of the number of 16S operons per bacterial genome was used to estimate the actual amount of bacteria.</w:t>
      </w:r>
    </w:p>
    <w:p w14:paraId="05999999" w14:textId="16AF1A02" w:rsidR="00643E01" w:rsidRPr="00643E01" w:rsidRDefault="00643E01" w:rsidP="00643E01">
      <w:pPr>
        <w:pStyle w:val="PCJtext"/>
      </w:pPr>
      <w:r w:rsidRPr="00643E01">
        <w:t>The presence of N</w:t>
      </w:r>
      <w:r w:rsidRPr="00643E01">
        <w:rPr>
          <w:vertAlign w:val="subscript"/>
        </w:rPr>
        <w:t>2</w:t>
      </w:r>
      <w:r w:rsidRPr="00643E01">
        <w:t xml:space="preserve">-fixing bacteria was monitored by qPCR of the </w:t>
      </w:r>
      <w:r w:rsidRPr="00643E01">
        <w:rPr>
          <w:i/>
        </w:rPr>
        <w:t>nifH</w:t>
      </w:r>
      <w:r w:rsidRPr="00643E01">
        <w:t xml:space="preserve"> gene of the Fe-Fe subunit of nitrogenases </w:t>
      </w:r>
      <w:r w:rsidRPr="00643E01">
        <w:fldChar w:fldCharType="begin"/>
      </w:r>
      <w:r w:rsidRPr="00643E01">
        <w:instrText xml:space="preserve"> ADDIN ZOTERO_ITEM CSL_CITATION {"citationID":"OiVeaPKo","properties":{"formattedCitation":"(Dos Santos et al., 2012; Gaby &amp; Buckley, 2012)","plainCitation":"(Dos Santos et al., 2012; Gaby &amp; Buckley, 2012)","noteIndex":0},"citationItems":[{"id":558,"uris":["http://zotero.org/users/local/ahqjqVuV/items/4FD35KLB"],"itemData":{"id":558,"type":"article-journal","abstract":"The metabolic capacity for nitrogen fixation is known to be present in several prokaryotic species scattered across taxonomic groups. Experimental detection of nitrogen fixation in microbes requires species-specific conditions, making it difficult to obtain a comprehensive census of this trait. The recent and rapid increase in the availability of microbial genome sequences affords novel opportunities to re-examine the occurrence and distribution of nitrogen fixation genes. The current practice for computational prediction of nitrogen fixation is to use the presence of the nifH and/or nifD genes.","container-title":"BMC Genomics","DOI":"10.1186/1471-2164-13-162","ISSN":"1471-2164","issue":"1","journalAbbreviation":"BMC Genomics","page":"162","source":"BioMed Central","title":"Distribution of nitrogen fixation and nitrogenase-like sequences amongst microbial genomes","volume":"13","author":[{"family":"Dos Santos","given":"Patricia C."},{"family":"Fang","given":"Zhong"},{"family":"Mason","given":"Steven W."},{"family":"Setubal","given":"João C."},{"family":"Dixon","given":"Ray"}],"issued":{"date-parts":[["2012",5,3]]}}},{"id":7,"uris":["http://zotero.org/users/local/ahqjqVuV/items/KYGMJ9MZ"],"itemData":{"id":7,"type":"article-journal","abstract":"The nifH gene is the most widely sequenced marker gene used to identify nitrogen-fixing Bacteria and Archaea. Numerous PCR primers have been designed to amplify nifH, but a comprehensive evaluation of nifH PCR primers has not been performed. We performed an in silico analysis of the specificity and coverage of 51 universal and 35 group-specific nifH primers by using an aligned database of 23,847 nifH sequences. We found that there are 15 universal nifH primers that target 90% or more of nitrogen fixers, but that there are also 23 nifH primers that target less than 50% of nifH sequences. The nifH primers we evaluated vary in their phylogenetic bias and their ability to recover sequences from commonly sampled environments. In addition, many of these primers will amplify genes that do not mediate nitrogen fixation, and thus it would be advisable for researchers to screen their sequencing results for the presence of non-target genes before analysis. Universal primers that performed well in silico were tested empirically with soil samples and with genomic DNA from a phylogenetically diverse set of nitrogen-fixing strains. This analysis will be of great utility to those engaged in molecular analysis of nifH genes from isolates and environmental samples.","container-title":"PLoS ONE","DOI":"10.1371/journal.pone.0042149","ISSN":"1932-6203","issue":"7","journalAbbreviation":"PLoS ONE","language":"en","page":"e42149","source":"DOI.org (Crossref)","title":"A Comprehensive Evaluation of PCR Primers to Amplify the nifH Gene of Nitrogenase","volume":"7","author":[{"family":"Gaby","given":"John Christian"},{"family":"Buckley","given":"Daniel H."}],"editor":[{"family":"Balcazar","given":"Jose Luis"}],"issued":{"date-parts":[["2012",7,25]]}}}],"schema":"https://github.com/citation-style-language/schema/raw/master/csl-citation.json"} </w:instrText>
      </w:r>
      <w:r w:rsidRPr="00643E01">
        <w:fldChar w:fldCharType="separate"/>
      </w:r>
      <w:r w:rsidRPr="00643E01">
        <w:t>(Dos Santos et al., 2012; Gaby &amp; Buckley, 2012)</w:t>
      </w:r>
      <w:r w:rsidRPr="00643E01">
        <w:fldChar w:fldCharType="end"/>
      </w:r>
      <w:r w:rsidRPr="00643E01">
        <w:t xml:space="preserve">. </w:t>
      </w:r>
      <w:r w:rsidR="006B19F5" w:rsidRPr="00C13637">
        <w:rPr>
          <w:highlight w:val="yellow"/>
        </w:rPr>
        <w:t xml:space="preserve">The </w:t>
      </w:r>
      <w:r w:rsidR="006B19F5" w:rsidRPr="00C13637">
        <w:rPr>
          <w:i/>
          <w:highlight w:val="yellow"/>
        </w:rPr>
        <w:t>nifH</w:t>
      </w:r>
      <w:r w:rsidR="006B19F5" w:rsidRPr="00C13637">
        <w:rPr>
          <w:highlight w:val="yellow"/>
        </w:rPr>
        <w:t xml:space="preserve"> gene is known as marker of N</w:t>
      </w:r>
      <w:r w:rsidR="006B19F5" w:rsidRPr="00C13637">
        <w:rPr>
          <w:highlight w:val="yellow"/>
          <w:vertAlign w:val="subscript"/>
        </w:rPr>
        <w:t>2</w:t>
      </w:r>
      <w:r w:rsidR="006B19F5" w:rsidRPr="00C13637">
        <w:rPr>
          <w:highlight w:val="yellow"/>
        </w:rPr>
        <w:t xml:space="preserve"> fixing bacteria, common to all nitrogenases and is used for their quantification because of its necessary presence for the fixation of N</w:t>
      </w:r>
      <w:r w:rsidR="006B19F5" w:rsidRPr="00C13637">
        <w:rPr>
          <w:highlight w:val="yellow"/>
          <w:vertAlign w:val="subscript"/>
        </w:rPr>
        <w:t>2</w:t>
      </w:r>
      <w:r w:rsidR="006B19F5" w:rsidRPr="00C13637">
        <w:rPr>
          <w:highlight w:val="yellow"/>
        </w:rPr>
        <w:t xml:space="preserve"> </w:t>
      </w:r>
      <w:r w:rsidR="006B19F5" w:rsidRPr="00C13637">
        <w:rPr>
          <w:highlight w:val="yellow"/>
        </w:rPr>
        <w:fldChar w:fldCharType="begin"/>
      </w:r>
      <w:r w:rsidR="006B19F5" w:rsidRPr="00C13637">
        <w:rPr>
          <w:highlight w:val="yellow"/>
        </w:rPr>
        <w:instrText xml:space="preserve"> ADDIN ZOTERO_ITEM CSL_CITATION {"citationID":"BEqRq8Rw","properties":{"formattedCitation":"(Dos Santos et al., 2012; Gaby &amp; Buckley, 2012)","plainCitation":"(Dos Santos et al., 2012; Gaby &amp; Buckley, 2012)","noteIndex":0},"citationItems":[{"id":558,"uris":["http://zotero.org/users/local/ahqjqVuV/items/4FD35KLB"],"itemData":{"id":558,"type":"article-journal","abstract":"The metabolic capacity for nitrogen fixation is known to be present in several prokaryotic species scattered across taxonomic groups. Experimental detection of nitrogen fixation in microbes requires species-specific conditions, making it difficult to obtain a comprehensive census of this trait. The recent and rapid increase in the availability of microbial genome sequences affords novel opportunities to re-examine the occurrence and distribution of nitrogen fixation genes. The current practice for computational prediction of nitrogen fixation is to use the presence of the nifH and/or nifD genes.","container-title":"BMC Genomics","DOI":"10.1186/1471-2164-13-162","ISSN":"1471-2164","issue":"1","journalAbbreviation":"BMC Genomics","page":"162","source":"BioMed Central","title":"Distribution of nitrogen fixation and nitrogenase-like sequences amongst microbial genomes","volume":"13","author":[{"family":"Dos Santos","given":"Patricia C."},{"family":"Fang","given":"Zhong"},{"family":"Mason","given":"Steven W."},{"family":"Setubal","given":"João C."},{"family":"Dixon","given":"Ray"}],"issued":{"date-parts":[["2012",5,3]]}}},{"id":7,"uris":["http://zotero.org/users/local/ahqjqVuV/items/KYGMJ9MZ"],"itemData":{"id":7,"type":"article-journal","abstract":"The nifH gene is the most widely sequenced marker gene used to identify nitrogen-fixing Bacteria and Archaea. Numerous PCR primers have been designed to amplify nifH, but a comprehensive evaluation of nifH PCR primers has not been performed. We performed an in silico analysis of the specificity and coverage of 51 universal and 35 group-specific nifH primers by using an aligned database of 23,847 nifH sequences. We found that there are 15 universal nifH primers that target 90% or more of nitrogen fixers, but that there are also 23 nifH primers that target less than 50% of nifH sequences. The nifH primers we evaluated vary in their phylogenetic bias and their ability to recover sequences from commonly sampled environments. In addition, many of these primers will amplify genes that do not mediate nitrogen fixation, and thus it would be advisable for researchers to screen their sequencing results for the presence of non-target genes before analysis. Universal primers that performed well in silico were tested empirically with soil samples and with genomic DNA from a phylogenetically diverse set of nitrogen-fixing strains. This analysis will be of great utility to those engaged in molecular analysis of nifH genes from isolates and environmental samples.","container-title":"PLoS ONE","DOI":"10.1371/journal.pone.0042149","ISSN":"1932-6203","issue":"7","journalAbbreviation":"PLoS ONE","language":"en","page":"e42149","source":"DOI.org (Crossref)","title":"A Comprehensive Evaluation of PCR Primers to Amplify the nifH Gene of Nitrogenase","volume":"7","author":[{"family":"Gaby","given":"John Christian"},{"family":"Buckley","given":"Daniel H."}],"editor":[{"family":"Balcazar","given":"Jose Luis"}],"issued":{"date-parts":[["2012",7,25]]}}}],"schema":"https://github.com/citation-style-language/schema/raw/master/csl-citation.json"} </w:instrText>
      </w:r>
      <w:r w:rsidR="006B19F5" w:rsidRPr="00C13637">
        <w:rPr>
          <w:highlight w:val="yellow"/>
        </w:rPr>
        <w:fldChar w:fldCharType="separate"/>
      </w:r>
      <w:r w:rsidR="006B19F5" w:rsidRPr="00C13637">
        <w:rPr>
          <w:highlight w:val="yellow"/>
        </w:rPr>
        <w:t>(Dos Santos et al., 2012; Gaby &amp; Buckley, 2012)</w:t>
      </w:r>
      <w:r w:rsidR="006B19F5" w:rsidRPr="00C13637">
        <w:rPr>
          <w:highlight w:val="yellow"/>
        </w:rPr>
        <w:fldChar w:fldCharType="end"/>
      </w:r>
      <w:r w:rsidR="006B19F5" w:rsidRPr="00C13637">
        <w:rPr>
          <w:highlight w:val="yellow"/>
        </w:rPr>
        <w:t>.</w:t>
      </w:r>
      <w:r w:rsidR="001B6031" w:rsidRPr="00C13637">
        <w:t xml:space="preserve"> </w:t>
      </w:r>
      <w:r w:rsidRPr="00FF622B">
        <w:t xml:space="preserve">All qPCR amplification programs were performed in a BioRad CFX96 Real-Time Systems C1000 Touch thermal cycler (Bio-Rad Laboratories, USA). </w:t>
      </w:r>
      <w:r w:rsidRPr="00643E01">
        <w:t xml:space="preserve">The primers PolF-TGCGAYCCSAARGCBGACTC and PolRmodify reverse-AGSGCCATCATYTCRCCGGA were used </w:t>
      </w:r>
      <w:r w:rsidRPr="00643E01">
        <w:fldChar w:fldCharType="begin"/>
      </w:r>
      <w:r w:rsidRPr="00643E01">
        <w:instrText xml:space="preserve"> ADDIN ZOTERO_ITEM CSL_CITATION {"citationID":"5T2aAyPf","properties":{"formattedCitation":"(Poly et al., 2001)","plainCitation":"(Poly et al., 2001)","noteIndex":0},"citationItems":[{"id":773,"uris":["http://zotero.org/users/local/ahqjqVuV/items/PKRYG8VU"],"itemData":{"id":773,"type":"article-journal","abstract":"The similarities and differences in the structures of thenifH gene pools of six different soils (Montrond, LCSA-p, Vernon, Dombes, LCSA-c, and Thysse Kaymor) and five soil fractions extracted from LCSA-c were studied. Bacterial DNA was directly extracted from the soils, and a region of thenifH gene was amplified by PCR and analyzed by restriction. Soils were selected on the basis of differences in soil management, plant cover, and major physicochemical properties. Microenvironments differed on the basis of the sizes of the constituent particles and the organic carbon and clay contents. Restriction profiles were subjected to principal-component analysis. We showed that the composition of the diazotrophic communities varied both on a large scale (among soils) and on a microscale (among microenvironments in LCSA-c soil). Soil management seemed to be the major parameter influencing differences in the nifH gene pool structure among soils by controlling inorganic nitrogen content and its variation. However, physicochemical parameters (texture and total C and N contents) were found to correlate with differences amongnifH gene pools on a microscale. We hypothesize that the observed nifH genetic structures resulted from the adaptation to fluctuating conditions (cultivated soil, forest soil, coarse fractions) or constant conditions (permanent pasture soil, fine fractions). We attempted to identify a specific band within the profile of the clay fraction by cloning and sequencing it and comparing it with the gene databases. Unexpectedly, the nifH sequences of the dominant bacteria were most similar to sequences of unidentified marine eubacteria.","container-title":"Applied and Environmental Microbiology","DOI":"10.1128/AEM.67.5.2255-2262.2001","issue":"5","note":"publisher: American Society for Microbiology","page":"2255-2262","source":"journals.asm.org (Atypon)","title":"Comparison of nifH Gene Pools in Soils and Soil Microenvironments with Contrasting Properties","volume":"67","author":[{"family":"Poly","given":"Franck"},{"family":"Ranjard","given":"Lionel"},{"family":"Nazaret","given":"Sylvie"},{"family":"Gourbière","given":"François"},{"family":"Monrozier","given":"Lucile Jocteur"}],"issued":{"date-parts":[["2001",5]]}}}],"schema":"https://github.com/citation-style-language/schema/raw/master/csl-citation.json"} </w:instrText>
      </w:r>
      <w:r w:rsidRPr="00643E01">
        <w:fldChar w:fldCharType="separate"/>
      </w:r>
      <w:r w:rsidRPr="00643E01">
        <w:t>(Poly et al., 2001)</w:t>
      </w:r>
      <w:r w:rsidRPr="00643E01">
        <w:fldChar w:fldCharType="end"/>
      </w:r>
      <w:r w:rsidRPr="00643E01">
        <w:t>. The mixture: 6µl SsoAdvanced™ Universal SYBR Green Supermix (Bio-rad Laboratories, USA), F primer (500 nM), R primer (500 nM), 2 μL of DNA and water was used up to a volume of 12 μL. The qPCR cycle was as follows: incubation for 2 min at 95°C and 40 cycles of dissociation (95°C, 30 s) and elongation (60°C, 30 s) steps. Then, the results were compared to a standard curve to obtain the number of copies of the target in the sample. These two quantifications allow us to calculate the ratios of N</w:t>
      </w:r>
      <w:r w:rsidRPr="00643E01">
        <w:rPr>
          <w:vertAlign w:val="subscript"/>
        </w:rPr>
        <w:t>2</w:t>
      </w:r>
      <w:r w:rsidRPr="00643E01">
        <w:t>-fixing bacteria per total bacteria of the enrichments at different points to track the enrichment of N</w:t>
      </w:r>
      <w:r w:rsidRPr="00643E01">
        <w:rPr>
          <w:vertAlign w:val="subscript"/>
        </w:rPr>
        <w:t>2</w:t>
      </w:r>
      <w:r w:rsidRPr="00643E01">
        <w:t>-fixing bacteria. This ratio can also help us to derive hypotheses on the functioning of our communities that can be completed by the analysis of the communities during sequencing.</w:t>
      </w:r>
    </w:p>
    <w:p w14:paraId="0F6694AE" w14:textId="1FB82EE4" w:rsidR="004432A9" w:rsidRDefault="00643E01" w:rsidP="00643E01">
      <w:pPr>
        <w:pStyle w:val="PCJtext"/>
      </w:pPr>
      <w:r w:rsidRPr="00643E01">
        <w:t xml:space="preserve">After quantification, our enriched communities were sequenced according to their 16S rDNA and the results are available on NCBI repository </w:t>
      </w:r>
      <w:r w:rsidR="00976E79" w:rsidRPr="00643E01">
        <w:t>PRJNA</w:t>
      </w:r>
      <w:r w:rsidR="00976E79">
        <w:t>976100</w:t>
      </w:r>
      <w:r w:rsidRPr="00643E01">
        <w:t xml:space="preserve">, Biosample SAMN28447998-SAMN28448066. The V3-V4 region of the 16S rDNA was amplified using universal primers as reported elsewhere </w:t>
      </w:r>
      <w:r w:rsidRPr="00643E01">
        <w:fldChar w:fldCharType="begin"/>
      </w:r>
      <w:r w:rsidRPr="00643E01">
        <w:instrText xml:space="preserve"> ADDIN ZOTERO_ITEM CSL_CITATION {"citationID":"JHjuk6Lf","properties":{"formattedCitation":"(Carmona-Mart\\uc0\\u237{}nez et al., 2015)","plainCitation":"(Carmona-Martínez et al., 2015)","noteIndex":0},"citationItems":[{"id":775,"uris":["http://zotero.org/users/local/ahqjqVuV/items/I2K2T6UY"],"itemData":{"id":775,"type":"article-journal","abstract":"A biofilm-based 4 L two chamber microbial electrolysis cell (MEC) was continuously fed with acetate under saline conditions (35 g/L NaCl) for more than 100 days. The MEC produced a biogas highly enriched in H2 (≥90%). Both current (10.6 ± 0.2 A/m2Anode or 199.1 ± 4.0 A/m3MEC) and H2 production (201.1 ± 7.5 LH2/m2Cathode·d or 0.9 ± 0.0 m3H2/m3MEC·d) rates were highly significant when considering the saline operating conditions. A microbial analysis revealed an important enrichment in the anodic biofilm with five main bacterial groups: 44% Proteobacteria, 32% Bacteroidetes, 18% Firmicutes and 5% Spirochaetes and 1% Actinobacteria. Of special interest is the emergence within the Proteobacteria phylum of the recently described halophilic anode-respiring bacteria Geoalkalibacter (unk. species), with a relative abundance up to 14%. These results provide for the first time a noteworthy alternative for the treatment of saline effluents and continuous production of H2.","container-title":"Water Research","DOI":"10.1016/j.watres.2015.05.041","ISSN":"0043-1354","journalAbbreviation":"Water Research","language":"en","page":"149-156","source":"ScienceDirect","title":"Long-term continuous production of H2 in a microbial electrolysis cell (MEC) treating saline wastewater","volume":"81","author":[{"family":"Carmona-Martínez","given":"Alessandro A."},{"family":"Trably","given":"Eric"},{"family":"Milferstedt","given":"Kim"},{"family":"Lacroix","given":"Rémy"},{"family":"Etcheverry","given":"Luc"},{"family":"Bernet","given":"Nicolas"}],"issued":{"date-parts":[["2015",9,15]]}}}],"schema":"https://github.com/citation-style-language/schema/raw/master/csl-citation.json"} </w:instrText>
      </w:r>
      <w:r w:rsidRPr="00643E01">
        <w:fldChar w:fldCharType="separate"/>
      </w:r>
      <w:r w:rsidRPr="00643E01">
        <w:t>(Carmona-Martínez et al., 2015)</w:t>
      </w:r>
      <w:r w:rsidRPr="00643E01">
        <w:fldChar w:fldCharType="end"/>
      </w:r>
      <w:r w:rsidRPr="00643E01">
        <w:t>. The PCR mixture consisted of MTP Taq DNA Polymerase (Sigma-Aldrich, Germany) (0.05 u/μL) with enzyme buffer, forward and reverse primers (0.5 mM), dNTPs (0.2 mM), sample DNA (5-10 ng/μL), and water to a final volume of 60 μL. 30 cycles of denaturation (95°C, 1 min), annealing (65°C, 1 min), and elongation (72°C, 1 min) were performed in a Mastercycler thermal cycler (Eppendorf, Germany). A final extension step was added for 10 min at 72 °C at the end of the 30th amplification cycle. PCR amplifications were verified by the 2100 Bioanalyzer (Agilent, USA). The GenoToul platform (Toulouse, France http://www.genotoul.fr) used an Illumina Miseq sequencer (2 x 340 bp pair-end run) for the sequencing reaction. The raw sequences obtained were analyzed using bioinfomatic tools. Mothur version 1.39.5 was used for cleaning, assembly and quality control of the reads. Alignment was performed with SILVA version 128 (the latter was also used as a taxonomic contour).</w:t>
      </w:r>
    </w:p>
    <w:p w14:paraId="70A6268C" w14:textId="22AA1137" w:rsidR="00643E01" w:rsidRPr="00C13637" w:rsidRDefault="008E52F5" w:rsidP="00C13637">
      <w:pPr>
        <w:pStyle w:val="PCJtext"/>
      </w:pPr>
      <w:r w:rsidRPr="00C13637">
        <w:rPr>
          <w:highlight w:val="yellow"/>
        </w:rPr>
        <w:t>Communities sequenced on pre-enrichment bottles were used as initial community of the enrichment cultures. For PCE and nPCE, sequenced communities came from the biofilm formed on electrodes. Two replicates per potential were used. For H</w:t>
      </w:r>
      <w:r w:rsidRPr="00C13637">
        <w:rPr>
          <w:highlight w:val="yellow"/>
          <w:vertAlign w:val="subscript"/>
        </w:rPr>
        <w:t>2</w:t>
      </w:r>
      <w:r w:rsidRPr="00C13637">
        <w:rPr>
          <w:highlight w:val="yellow"/>
        </w:rPr>
        <w:t>E bottles, 6 bottles were used for sequence analysis and qPCR. For pre-enrichment, sequences corresponded to each soil samples (leguminous, forest, compost) and a mix of them.</w:t>
      </w:r>
    </w:p>
    <w:p w14:paraId="3121A9E5" w14:textId="77777777" w:rsidR="00643E01" w:rsidRPr="00643E01" w:rsidRDefault="00643E01" w:rsidP="00023F62">
      <w:pPr>
        <w:pStyle w:val="PCJSubsection"/>
      </w:pPr>
      <w:r w:rsidRPr="00643E01">
        <w:t>Data analysis</w:t>
      </w:r>
    </w:p>
    <w:p w14:paraId="737F725B" w14:textId="77777777" w:rsidR="00643E01" w:rsidRPr="00643E01" w:rsidRDefault="00643E01" w:rsidP="00643E01">
      <w:pPr>
        <w:pStyle w:val="PCJtext"/>
      </w:pPr>
      <w:r w:rsidRPr="00643E01">
        <w:t>All results were analyzed using R (4.2.0) and Rstudio (2022.07.1) for calculations and graphics. The Tidyverse package was used for data manipulation</w:t>
      </w:r>
      <w:r w:rsidRPr="00643E01">
        <w:fldChar w:fldCharType="begin"/>
      </w:r>
      <w:r w:rsidRPr="00643E01">
        <w:instrText xml:space="preserve"> ADDIN ZOTERO_ITEM CSL_CITATION {"citationID":"WOSanBrK","properties":{"formattedCitation":"({\\i{}Tidyverse}, n.d.)","plainCitation":"(Tidyverse, n.d.)","noteIndex":0},"citationItems":[{"id":847,"uris":["http://zotero.org/users/local/ahqjqVuV/items/QRJELA5V"],"itemData":{"id":847,"type":"webpage","abstract":"The tidyverse is an integrated collection of R packages designed to make data science fast, fluid, and fun.","language":"en-us","title":"Tidyverse","URL":"https://www.tidyverse.org/","accessed":{"date-parts":[["2023",2,9]]}}}],"schema":"https://github.com/citation-style-language/schema/raw/master/csl-citation.json"} </w:instrText>
      </w:r>
      <w:r w:rsidRPr="00643E01">
        <w:fldChar w:fldCharType="separate"/>
      </w:r>
      <w:r w:rsidRPr="00643E01">
        <w:t>(</w:t>
      </w:r>
      <w:r w:rsidRPr="00643E01">
        <w:rPr>
          <w:i/>
          <w:iCs/>
        </w:rPr>
        <w:t>Tidyverse</w:t>
      </w:r>
      <w:r w:rsidRPr="00643E01">
        <w:t>, n.d.)</w:t>
      </w:r>
      <w:r w:rsidRPr="00643E01">
        <w:fldChar w:fldCharType="end"/>
      </w:r>
      <w:r w:rsidRPr="00643E01">
        <w:t xml:space="preserve">. The packages ggplot2, ggpubr, scales, cowplot, corrplot and palettetown were used for the graphical representations. Visual representation of bacterial relative abundances was performed with the phyloseq package </w:t>
      </w:r>
      <w:r w:rsidRPr="00643E01">
        <w:fldChar w:fldCharType="begin"/>
      </w:r>
      <w:r w:rsidRPr="00643E01">
        <w:instrText xml:space="preserve"> ADDIN ZOTERO_ITEM CSL_CITATION {"citationID":"h7XMFJIL","properties":{"formattedCitation":"(McMurdie, 2011/2023)","plainCitation":"(McMurdie, 2011/2023)","noteIndex":0},"citationItems":[{"id":846,"uris":["http://zotero.org/users/local/ahqjqVuV/items/49B5Z6BK"],"itemData":{"id":846,"type":"software","abstract":"phyloseq is a set of classes, wrappers, and tools (in R) to make it easier to import, store, and analyze phylogenetic sequencing data; and to reproducibly share that data and analysis with others. See the phyloseq front page:","genre":"R","note":"original-date: 2011-08-11T00:16:34Z","source":"GitHub","title":"phyloseq","URL":"https://github.com/joey711/phyloseq","author":[{"family":"McMurdie","given":"Paul J."}],"accessed":{"date-parts":[["2023",2,9]]},"issued":{"date-parts":[["2023",2,8]]}}}],"schema":"https://github.com/citation-style-language/schema/raw/master/csl-citation.json"} </w:instrText>
      </w:r>
      <w:r w:rsidRPr="00643E01">
        <w:fldChar w:fldCharType="separate"/>
      </w:r>
      <w:r w:rsidRPr="00643E01">
        <w:t>(McMurdie, 2011/2023)</w:t>
      </w:r>
      <w:r w:rsidRPr="00643E01">
        <w:fldChar w:fldCharType="end"/>
      </w:r>
      <w:r w:rsidRPr="00643E01">
        <w:t>. Inkscape software was also used to edit the graphs when necessary. The uncertainties shown for the values presented are standard deviations.</w:t>
      </w:r>
      <w:r w:rsidR="004E2785">
        <w:t xml:space="preserve"> All data and scripts used here are available </w:t>
      </w:r>
      <w:r w:rsidR="00F22B93">
        <w:t>online (Rous, 2023).</w:t>
      </w:r>
    </w:p>
    <w:p w14:paraId="7B5307CA" w14:textId="77777777" w:rsidR="00C65C53" w:rsidRPr="00643E01" w:rsidRDefault="00C65C53" w:rsidP="00CE127D">
      <w:pPr>
        <w:pStyle w:val="PCJtext"/>
      </w:pPr>
    </w:p>
    <w:p w14:paraId="3B5EBE9A" w14:textId="77777777" w:rsidR="002B68D3" w:rsidRPr="00643E01" w:rsidRDefault="002B68D3" w:rsidP="00CE127D">
      <w:pPr>
        <w:pStyle w:val="PCJSection"/>
      </w:pPr>
      <w:bookmarkStart w:id="5" w:name="_Toc99629446"/>
      <w:r w:rsidRPr="00643E01">
        <w:lastRenderedPageBreak/>
        <w:t>Results</w:t>
      </w:r>
      <w:bookmarkEnd w:id="5"/>
      <w:r w:rsidR="00643E01" w:rsidRPr="00643E01">
        <w:t xml:space="preserve"> and discussion</w:t>
      </w:r>
    </w:p>
    <w:p w14:paraId="3CC2FB47" w14:textId="77777777" w:rsidR="00B7526F" w:rsidRPr="00643E01" w:rsidRDefault="00643E01" w:rsidP="00023F62">
      <w:pPr>
        <w:pStyle w:val="PCJSubsection"/>
      </w:pPr>
      <w:bookmarkStart w:id="6" w:name="_Toc99629447"/>
      <w:r w:rsidRPr="00643E01">
        <w:t>Nitrogen fixation after 340 days of enrichment</w:t>
      </w:r>
      <w:bookmarkEnd w:id="6"/>
    </w:p>
    <w:p w14:paraId="1F2EAAC3" w14:textId="05804BEA" w:rsidR="00643E01" w:rsidRDefault="00643E01" w:rsidP="00643E01">
      <w:pPr>
        <w:pStyle w:val="PCJtext"/>
      </w:pPr>
      <w:r w:rsidRPr="00643E01">
        <w:t>N</w:t>
      </w:r>
      <w:r w:rsidRPr="00643E01">
        <w:rPr>
          <w:vertAlign w:val="subscript"/>
        </w:rPr>
        <w:t>2</w:t>
      </w:r>
      <w:r w:rsidRPr="00643E01">
        <w:t xml:space="preserve"> fixation was quantified at the day 340 of the enrichment using acetylene reduction assays (ARA). This assay was performed in H</w:t>
      </w:r>
      <w:r w:rsidRPr="00643E01">
        <w:rPr>
          <w:vertAlign w:val="subscript"/>
        </w:rPr>
        <w:t>2</w:t>
      </w:r>
      <w:r w:rsidRPr="00643E01">
        <w:t>-fed bottle enrichments (named ‘H</w:t>
      </w:r>
      <w:r w:rsidRPr="00643E01">
        <w:rPr>
          <w:vertAlign w:val="subscript"/>
        </w:rPr>
        <w:t>2</w:t>
      </w:r>
      <w:r w:rsidRPr="00643E01">
        <w:t xml:space="preserve">E‘), in polarized cathode enrichment (named ‘PCE’) and in the non-polarized cathode enrichments as controls (named ‘nPCE’). As shown in </w:t>
      </w:r>
      <w:r w:rsidR="00B83F23" w:rsidRPr="00127A82">
        <w:fldChar w:fldCharType="begin"/>
      </w:r>
      <w:r w:rsidR="00B83F23" w:rsidRPr="00127A82">
        <w:instrText xml:space="preserve"> REF _Ref129081504 \h </w:instrText>
      </w:r>
      <w:r w:rsidR="007C15C3" w:rsidRPr="00127A82">
        <w:instrText xml:space="preserve"> \* MERGEFORMAT </w:instrText>
      </w:r>
      <w:r w:rsidR="00B83F23" w:rsidRPr="00127A82">
        <w:fldChar w:fldCharType="separate"/>
      </w:r>
      <w:r w:rsidR="00C13637">
        <w:t>F</w:t>
      </w:r>
      <w:r w:rsidR="00B83F23" w:rsidRPr="00127A82">
        <w:t>igure 2</w:t>
      </w:r>
      <w:r w:rsidR="00B83F23" w:rsidRPr="00127A82">
        <w:fldChar w:fldCharType="end"/>
      </w:r>
      <w:r w:rsidRPr="00D92A9F">
        <w:t>,</w:t>
      </w:r>
      <w:r w:rsidRPr="00643E01">
        <w:t xml:space="preserve"> the ARA results confirmed the N</w:t>
      </w:r>
      <w:r w:rsidRPr="00643E01">
        <w:rPr>
          <w:vertAlign w:val="subscript"/>
        </w:rPr>
        <w:t>2</w:t>
      </w:r>
      <w:r w:rsidRPr="00643E01">
        <w:t xml:space="preserve"> fixation capacity of the enriched communities </w:t>
      </w:r>
      <w:r w:rsidRPr="00643E01">
        <w:fldChar w:fldCharType="begin"/>
      </w:r>
      <w:r w:rsidRPr="00643E01">
        <w:instrText xml:space="preserve"> ADDIN ZOTERO_ITEM CSL_CITATION {"citationID":"j6mZqz7a","properties":{"formattedCitation":"(Bergersen, 1970)","plainCitation":"(Bergersen, 1970)","noteIndex":0},"citationItems":[{"id":298,"uris":["http://zotero.org/users/local/ahqjqVuV/items/BQSK3MC4"],"itemData":{"id":298,"type":"article-journal","abstract":"Acetylene.reduction activity of detached soybean nodules was positively correlated with the nitrogen content of the host plants grown in nitrogen-free media. Acetylene reduction by nodulated root systems was related to light intensity preceding sampling; activity of detached nodules was lower and less influenced by light. Comparison of acetylene reduction and 15N 2 uptake by detached soybean nodules gave ratios of acetylene reduced to nitrogen fixed (C2~: NHs ratio) ranging from 2·7 to 4·2 in different experiments. The mean value for four experiments was 3·3±0·6 (S.E.). Different effects of oxygen were obtained with detached soybean nodules when 0·1 atm nitrogen and 0·1 atm acetylene were used as substrates. When the acetylene concentration was reduced to 0·005 atm the effects upon both assays were similar but the ratio of the two assays was still affected by p02.","container-title":"Australian Journal of Biological Sciences","DOI":"10.1071/bi9701015","issue":"4","journalAbbreviation":"Aust. Jnl. Of Bio. Sci.","language":"en","note":"number: 4\npublisher: CSIRO PUBLISHING","page":"1015-1026","source":"www.publish.csiro.au","title":"The Quantitative Relationship between Nitrogen Fixation and the Acetylene-Reduction Assay","volume":"23","author":[{"family":"Bergersen","given":"F. J."}],"issued":{"date-parts":[["1970"]]}}}],"schema":"https://github.com/citation-style-language/schema/raw/master/csl-citation.json"} </w:instrText>
      </w:r>
      <w:r w:rsidRPr="00643E01">
        <w:fldChar w:fldCharType="separate"/>
      </w:r>
      <w:r w:rsidRPr="00643E01">
        <w:t>(Bergersen, 1970)</w:t>
      </w:r>
      <w:r w:rsidRPr="00643E01">
        <w:rPr>
          <w:lang w:val="fr-FR"/>
        </w:rPr>
        <w:fldChar w:fldCharType="end"/>
      </w:r>
      <w:r w:rsidRPr="00643E01">
        <w:t>. This indicates that the cathode and/or H</w:t>
      </w:r>
      <w:r w:rsidRPr="00643E01">
        <w:rPr>
          <w:vertAlign w:val="subscript"/>
        </w:rPr>
        <w:t>2</w:t>
      </w:r>
      <w:r w:rsidRPr="00643E01">
        <w:t xml:space="preserve"> was used as </w:t>
      </w:r>
      <w:r w:rsidRPr="00C13637">
        <w:rPr>
          <w:highlight w:val="yellow"/>
        </w:rPr>
        <w:t>e</w:t>
      </w:r>
      <w:r w:rsidR="00A573BE" w:rsidRPr="00C13637">
        <w:rPr>
          <w:highlight w:val="yellow"/>
        </w:rPr>
        <w:t>lectron</w:t>
      </w:r>
      <w:r w:rsidRPr="00643E01">
        <w:t xml:space="preserve"> sources for N</w:t>
      </w:r>
      <w:r w:rsidRPr="00643E01">
        <w:rPr>
          <w:vertAlign w:val="subscript"/>
        </w:rPr>
        <w:t>2</w:t>
      </w:r>
      <w:r w:rsidRPr="00643E01">
        <w:t xml:space="preserve"> fixation both in PCE and in H</w:t>
      </w:r>
      <w:r w:rsidRPr="00643E01">
        <w:rPr>
          <w:vertAlign w:val="subscript"/>
        </w:rPr>
        <w:t>2</w:t>
      </w:r>
      <w:r w:rsidRPr="00643E01">
        <w:t>E bottles. The average rates were similar in both enrichment methods with 32±17 µmolC</w:t>
      </w:r>
      <w:r w:rsidRPr="00643E01">
        <w:rPr>
          <w:vertAlign w:val="subscript"/>
        </w:rPr>
        <w:t>2</w:t>
      </w:r>
      <w:r w:rsidRPr="00643E01">
        <w:t>H</w:t>
      </w:r>
      <w:r w:rsidRPr="00643E01">
        <w:rPr>
          <w:vertAlign w:val="subscript"/>
        </w:rPr>
        <w:t>4</w:t>
      </w:r>
      <w:r w:rsidRPr="00643E01">
        <w:t>/L.d in PCE and 36±13 µmolC</w:t>
      </w:r>
      <w:r w:rsidRPr="00643E01">
        <w:rPr>
          <w:vertAlign w:val="subscript"/>
        </w:rPr>
        <w:t>2</w:t>
      </w:r>
      <w:r w:rsidRPr="00643E01">
        <w:t>H</w:t>
      </w:r>
      <w:r w:rsidRPr="00643E01">
        <w:rPr>
          <w:vertAlign w:val="subscript"/>
        </w:rPr>
        <w:t>4</w:t>
      </w:r>
      <w:r w:rsidRPr="00643E01">
        <w:t>/L.d in H</w:t>
      </w:r>
      <w:r w:rsidRPr="00643E01">
        <w:rPr>
          <w:vertAlign w:val="subscript"/>
        </w:rPr>
        <w:t>2</w:t>
      </w:r>
      <w:r w:rsidRPr="00643E01">
        <w:t>E</w:t>
      </w:r>
      <w:r w:rsidRPr="00643E01">
        <w:rPr>
          <w:vertAlign w:val="subscript"/>
        </w:rPr>
        <w:t xml:space="preserve"> </w:t>
      </w:r>
      <w:r w:rsidRPr="00643E01">
        <w:t>bottles. The PCE corresponding N</w:t>
      </w:r>
      <w:r w:rsidRPr="00643E01">
        <w:rPr>
          <w:vertAlign w:val="subscript"/>
        </w:rPr>
        <w:t>2</w:t>
      </w:r>
      <w:r w:rsidRPr="00643E01">
        <w:t xml:space="preserve"> fixation rates ranged from 0.12 mg</w:t>
      </w:r>
      <w:r w:rsidRPr="00643E01">
        <w:rPr>
          <w:vertAlign w:val="subscript"/>
        </w:rPr>
        <w:t>Nfixed</w:t>
      </w:r>
      <w:r w:rsidRPr="00643E01">
        <w:t>/L.d (minimum) to 0.51 mg</w:t>
      </w:r>
      <w:r w:rsidRPr="00643E01">
        <w:rPr>
          <w:vertAlign w:val="subscript"/>
        </w:rPr>
        <w:t>Nfixed</w:t>
      </w:r>
      <w:r w:rsidRPr="00643E01">
        <w:t>/L.d (maximum), which is consistent with the rate of 0.2 mg</w:t>
      </w:r>
      <w:r w:rsidRPr="00643E01">
        <w:rPr>
          <w:vertAlign w:val="subscript"/>
        </w:rPr>
        <w:t>Nfixed</w:t>
      </w:r>
      <w:r w:rsidRPr="00643E01">
        <w:t xml:space="preserve">/L.d estimated by Rago et al. </w:t>
      </w:r>
      <w:r w:rsidRPr="00643E01">
        <w:fldChar w:fldCharType="begin"/>
      </w:r>
      <w:r w:rsidR="00402127">
        <w:instrText xml:space="preserve"> ADDIN ZOTERO_ITEM CSL_CITATION {"citationID":"Ecfwbeik","properties":{"formattedCitation":"(Rago et al., 2019)","plainCitation":"(Rago et al., 2019)","dontUpdate":true,"noteIndex":0},"citationItems":[{"id":3,"uris":["http://zotero.org/users/local/ahqjqVuV/items/9WMCQQZA"],"itemData":{"id":3,"type":"article-journal","abstract":"A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643E01">
        <w:fldChar w:fldCharType="separate"/>
      </w:r>
      <w:r w:rsidRPr="00643E01">
        <w:t>( 2019)</w:t>
      </w:r>
      <w:r w:rsidRPr="00643E01">
        <w:rPr>
          <w:lang w:val="fr-FR"/>
        </w:rPr>
        <w:fldChar w:fldCharType="end"/>
      </w:r>
      <w:r w:rsidRPr="00643E01">
        <w:t xml:space="preserve"> and also with N</w:t>
      </w:r>
      <w:r w:rsidRPr="00643E01">
        <w:rPr>
          <w:vertAlign w:val="subscript"/>
        </w:rPr>
        <w:t>2</w:t>
      </w:r>
      <w:r w:rsidRPr="00643E01">
        <w:t xml:space="preserve"> fixation rates reported for soil bacteria </w:t>
      </w:r>
      <w:r w:rsidRPr="00643E01">
        <w:fldChar w:fldCharType="begin"/>
      </w:r>
      <w:r w:rsidR="00402127">
        <w:instrText xml:space="preserve"> ADDIN ZOTERO_ITEM CSL_CITATION {"citationID":"jbJZp7D9","properties":{"formattedCitation":"(Hardy et al., 1973; Kifle &amp; Laing, 2016; Rago et al., 2019)","plainCitation":"(Hardy et al., 1973; Kifle &amp; Laing, 2016; Rago et al., 2019)","noteIndex":0},"citationItems":[{"id":412,"uris":["http://zotero.org/users/local/ahqjqVuV/items/SWJ8ICSG"],"itemData":{"id":412,"type":"article-journal","abstract":"A comprehensive report of the acetylene reduction assay for measurement of Nz fixation is presented. The objective is to facilitate the effective use and identify some potential limitations of the method. The report is based on more than 200 accounts of the use of this technique in 15 countries during the last 5 years. Methods of measurement of N, fixation are compared. Nomenclature, e.g., NJ&amp;H,] fixed, is introduced to identify values of N2 fixation determined by C,H,-C2H, assay. The biochemical basis of the assay is described along with relevant characteristics including K,,,, CzH2/Nz conversion factor, and specific N2[C2&amp;]fixing activities obtained with various systems. Effects of combined nitrogen, temperature, light, pot, NZ, p&amp;Hz and water on activity are summarized. Available methods for sample preparation, assay chamber, gas phase, assay condition, termination of reaction, CIHQ analysis and expression of results are compared. The many uses of the C2HZ-C2H4 assay for investigations of the biochemistry of nitrogenase and physiology of N,-tiing organisms, definition of Na-fixing organisms and measurement of field Nz fixation by legume, non-legume, soil, marine, rhizosphere, phylloplane and mammalian samples are tabulated.","container-title":"Soil Biology and Biochemistry","DOI":"10.1016/0038-0717(73)90093-X","ISSN":"00380717","issue":"1","journalAbbreviation":"Soil Biology and Biochemistry","language":"en","page":"47-81","source":"DOI.org (Crossref)","title":"Applications of the acetylene-ethylene assay for measurement of nitrogen fixation","volume":"5","author":[{"family":"Hardy","given":"R.W.F."},{"family":"Burns","given":"R.C."},{"family":"Holsten","given":"R.D."}],"issued":{"date-parts":[["1973",1]]}}},{"id":781,"uris":["http://zotero.org/users/local/ahqjqVuV/items/PZNDA6IY"],"itemData":{"id":781,"type":"article-journal","abstract":"Poor soil fertility is one of the major constraints for crop production. Nitrogen is the most limiting nutrient for increasing crop productivity. Therefore, there is a need to identify diazotrophic inoculants as an alternative or supplement to N-fertilizers for sustainable agriculture. In the current study, a number of free-living diazotrophic bacteria were isolated from soils collected from maize rhizosphere and from leaves and roots of maize within the KwaZulu-Natal Province, Republic of South Africa. Ninety-two isolates were selected for further screening because they were able to grow on N-free media containing different carbon sources. Isolates that were very slow to grow on N-free media were discarded. The isolates were screened in vitro for diazotrophic potential tests for ammonia production and acetylene reduction. Ethylene (C2H4) production was quantiﬁed and ranged from 4 to 73 nmoles of C2H4h−1 culture−1. The top 20 isolates were re-screened on maize seedlings, and eight isolates signiﬁcantly (P = 0.001) enhanced some growth parameters of maize above the un-inoculated control. Isolates that showed signiﬁcant effect on at least two growth parameters were identiﬁed at species or genera level. In conclusion, selected diazotrophic isolates may be potentially beneﬁcial but they should be tested more in greenhouse and ﬁeld conditions with maize to conﬁrm their potential for application as biofertilizers.","container-title":"Frontiers in Plant Science","DOI":"10.3389/fpls.2015.01225","ISSN":"1664-462X","journalAbbreviation":"Front. Plant Sci.","language":"en","source":"DOI.org (Crossref)","title":"Isolation and Screening of Bacteria for Their Diazotrophic Potential and Their Influence on Growth Promotion of Maize Seedlings in Greenhouses","URL":"http://journal.frontiersin.org/Article/10.3389/fpls.2015.01225/abstract","volume":"6","author":[{"family":"Kifle","given":"Medhin H."},{"family":"Laing","given":"Mark D."}],"accessed":{"date-parts":[["2022",11,16]]},"issued":{"date-parts":[["2016",1,8]]}}},{"id":3,"uris":["http://zotero.org/users/local/ahqjqVuV/items/9WMCQQZA"],"itemData":{"id":3,"type":"article-journal","abstract":"A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643E01">
        <w:fldChar w:fldCharType="separate"/>
      </w:r>
      <w:r w:rsidR="00402127" w:rsidRPr="00402127">
        <w:rPr>
          <w:rFonts w:ascii="Calibri" w:hAnsi="Calibri" w:cs="Calibri"/>
        </w:rPr>
        <w:t>(Hardy et al., 1973; Kifle &amp; Laing, 2016; Rago et al., 2019)</w:t>
      </w:r>
      <w:r w:rsidRPr="00643E01">
        <w:rPr>
          <w:lang w:val="fr-FR"/>
        </w:rPr>
        <w:fldChar w:fldCharType="end"/>
      </w:r>
      <w:r w:rsidRPr="00643E01">
        <w:t>. Despite these significant N</w:t>
      </w:r>
      <w:r w:rsidRPr="00643E01">
        <w:rPr>
          <w:vertAlign w:val="subscript"/>
        </w:rPr>
        <w:t>2</w:t>
      </w:r>
      <w:r w:rsidRPr="00643E01">
        <w:t xml:space="preserve"> fixation rates and the long duration of the experiments, the rate of ammonium production in solution remained lower than 0.07 mg</w:t>
      </w:r>
      <w:r w:rsidRPr="00643E01">
        <w:rPr>
          <w:vertAlign w:val="subscript"/>
        </w:rPr>
        <w:t>N</w:t>
      </w:r>
      <w:r w:rsidRPr="00643E01">
        <w:t>/L.d at the day 340 (</w:t>
      </w:r>
      <w:r w:rsidR="00083056" w:rsidRPr="00D92A9F">
        <w:fldChar w:fldCharType="begin"/>
      </w:r>
      <w:r w:rsidR="00083056" w:rsidRPr="00D92A9F">
        <w:instrText xml:space="preserve"> REF _Ref129081459 \h  \* MERGEFORMAT </w:instrText>
      </w:r>
      <w:r w:rsidR="00083056" w:rsidRPr="00D92A9F">
        <w:fldChar w:fldCharType="separate"/>
      </w:r>
      <w:r w:rsidR="00083056" w:rsidRPr="00D92A9F">
        <w:t>Table 1</w:t>
      </w:r>
      <w:r w:rsidR="00083056" w:rsidRPr="00D92A9F">
        <w:fldChar w:fldCharType="end"/>
      </w:r>
      <w:r w:rsidRPr="00643E01">
        <w:t>), indicating that most of the fixed N</w:t>
      </w:r>
      <w:r w:rsidRPr="00643E01">
        <w:rPr>
          <w:vertAlign w:val="subscript"/>
        </w:rPr>
        <w:t>2</w:t>
      </w:r>
      <w:r w:rsidRPr="00643E01">
        <w:t xml:space="preserve"> was probably rapidly used by bacteria.</w:t>
      </w:r>
    </w:p>
    <w:p w14:paraId="5C59B7C1" w14:textId="77777777" w:rsidR="00643E01" w:rsidRPr="00643E01" w:rsidRDefault="00643E01" w:rsidP="00643E01">
      <w:pPr>
        <w:pStyle w:val="PCJtext"/>
      </w:pPr>
    </w:p>
    <w:p w14:paraId="78EB5ACD" w14:textId="77777777" w:rsidR="008263E4" w:rsidRDefault="00643E01" w:rsidP="00643E01">
      <w:pPr>
        <w:pStyle w:val="PCJtext"/>
        <w:jc w:val="center"/>
        <w:rPr>
          <w:lang w:val="fr-FR"/>
        </w:rPr>
      </w:pPr>
      <w:r>
        <w:rPr>
          <w:lang w:val="fr-FR"/>
        </w:rPr>
        <w:drawing>
          <wp:inline distT="0" distB="0" distL="0" distR="0" wp14:anchorId="4831F4F7" wp14:editId="3F8F8C5C">
            <wp:extent cx="3159125" cy="3245485"/>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59125" cy="3245485"/>
                    </a:xfrm>
                    <a:prstGeom prst="rect">
                      <a:avLst/>
                    </a:prstGeom>
                    <a:ln>
                      <a:noFill/>
                    </a:ln>
                    <a:extLst>
                      <a:ext uri="{53640926-AAD7-44D8-BBD7-CCE9431645EC}">
                        <a14:shadowObscured xmlns:a14="http://schemas.microsoft.com/office/drawing/2010/main"/>
                      </a:ext>
                    </a:extLst>
                  </pic:spPr>
                </pic:pic>
              </a:graphicData>
            </a:graphic>
          </wp:inline>
        </w:drawing>
      </w:r>
    </w:p>
    <w:p w14:paraId="780755B1" w14:textId="010FC141" w:rsidR="00643E01" w:rsidRPr="00C13637" w:rsidRDefault="00083056" w:rsidP="00C13637">
      <w:pPr>
        <w:pStyle w:val="PCJcaptionfigure"/>
      </w:pPr>
      <w:bookmarkStart w:id="7" w:name="_Ref129081504"/>
      <w:r w:rsidRPr="00C13637">
        <w:rPr>
          <w:b/>
        </w:rPr>
        <w:t xml:space="preserve">Figure </w:t>
      </w:r>
      <w:r w:rsidRPr="00C13637">
        <w:rPr>
          <w:b/>
        </w:rPr>
        <w:fldChar w:fldCharType="begin"/>
      </w:r>
      <w:r w:rsidRPr="00C13637">
        <w:rPr>
          <w:b/>
        </w:rPr>
        <w:instrText xml:space="preserve"> SEQ Figure \* ARABIC </w:instrText>
      </w:r>
      <w:r w:rsidRPr="00C13637">
        <w:rPr>
          <w:b/>
        </w:rPr>
        <w:fldChar w:fldCharType="separate"/>
      </w:r>
      <w:r w:rsidR="00D802AF" w:rsidRPr="00C13637">
        <w:rPr>
          <w:b/>
        </w:rPr>
        <w:t>2</w:t>
      </w:r>
      <w:r w:rsidRPr="00C13637">
        <w:rPr>
          <w:b/>
        </w:rPr>
        <w:fldChar w:fldCharType="end"/>
      </w:r>
      <w:bookmarkEnd w:id="7"/>
      <w:r w:rsidRPr="00C13637">
        <w:t xml:space="preserve"> - Reduction rate of acetylene in µmol C</w:t>
      </w:r>
      <w:r w:rsidRPr="00C13637">
        <w:rPr>
          <w:vertAlign w:val="subscript"/>
        </w:rPr>
        <w:t>2</w:t>
      </w:r>
      <w:r w:rsidRPr="00C13637">
        <w:t>H</w:t>
      </w:r>
      <w:r w:rsidRPr="00C13637">
        <w:rPr>
          <w:vertAlign w:val="subscript"/>
        </w:rPr>
        <w:t>4</w:t>
      </w:r>
      <w:r w:rsidRPr="00C13637">
        <w:t>/L.d in the different reactors after 340 days of operation . or H</w:t>
      </w:r>
      <w:r w:rsidRPr="00C13637">
        <w:rPr>
          <w:vertAlign w:val="subscript"/>
        </w:rPr>
        <w:t>2</w:t>
      </w:r>
      <w:r w:rsidRPr="00C13637">
        <w:t xml:space="preserve"> condition, 3 bottles were used for the acetylene reduction assay with one injection for each bottle, i.e. 3 measurements. For PCE, 2 reactors were used and 4 injections were made to validate the repeatability of the measurement when C</w:t>
      </w:r>
      <w:r w:rsidRPr="00C13637">
        <w:rPr>
          <w:vertAlign w:val="subscript"/>
        </w:rPr>
        <w:t>2</w:t>
      </w:r>
      <w:r w:rsidRPr="00C13637">
        <w:t>H</w:t>
      </w:r>
      <w:r w:rsidRPr="00C13637">
        <w:rPr>
          <w:vertAlign w:val="subscript"/>
        </w:rPr>
        <w:t>4</w:t>
      </w:r>
      <w:r w:rsidRPr="00C13637">
        <w:t xml:space="preserve"> which gives 8 measurements for each of these two conditions. For nPCE, 2 reactors were used which gives 2 measurements for each conditions.</w:t>
      </w:r>
    </w:p>
    <w:p w14:paraId="1F8F3965" w14:textId="25ED0A9B" w:rsidR="005D4183" w:rsidRPr="00C13637" w:rsidRDefault="00643E01" w:rsidP="00456C92">
      <w:pPr>
        <w:pStyle w:val="PCJtext"/>
      </w:pPr>
      <w:r w:rsidRPr="00643E01">
        <w:t>The ability of the microbial communities to fix N</w:t>
      </w:r>
      <w:r w:rsidRPr="00643E01">
        <w:rPr>
          <w:vertAlign w:val="subscript"/>
        </w:rPr>
        <w:t>2</w:t>
      </w:r>
      <w:r w:rsidRPr="00643E01">
        <w:t xml:space="preserve"> was also assessed by qPCR of the </w:t>
      </w:r>
      <w:r w:rsidRPr="00643E01">
        <w:rPr>
          <w:i/>
        </w:rPr>
        <w:t>nifH</w:t>
      </w:r>
      <w:r w:rsidRPr="00643E01">
        <w:t xml:space="preserve"> gene </w:t>
      </w:r>
      <w:r w:rsidRPr="00643E01">
        <w:fldChar w:fldCharType="begin"/>
      </w:r>
      <w:r w:rsidRPr="00643E01">
        <w:instrText xml:space="preserve"> ADDIN ZOTERO_ITEM CSL_CITATION {"citationID":"VYLIRRvx","properties":{"formattedCitation":"(Dos Santos et al., 2012; Pogoreutz et al., 2017)","plainCitation":"(Dos Santos et al., 2012; Pogoreutz et al., 2017)","noteIndex":0},"citationItems":[{"id":616,"uris":["http://zotero.org/users/local/ahqjqVuV/items/E2QSP5SX"],"itemData":{"id":616,"type":"article-journal","abstract":"Microbial nitrogen fixation (diazotrophy) is a functional trait widely associated with tropical reef-building (scleractinian) corals. While the integral role of nitrogen fixation in coral nutrient dynamics is recognized, its ecological significance across different coral functional groups remains yet to be evaluated. Here we set out to compare molecular and physiological patterns of diazotrophy (i.e., nifH gene abundance and expression as well as nitrogen fixation rates) in two coral families with contrasting trophic strategies: highly heterotrophic, free-living members of the family Fungiidae (Pleuractis granulosa, Ctenactis echinata), and mostly autotrophic coral holobionts with low heterotrophic capacity (Pocilloporidae: Pocillopora verrucosa, Stylophora pistillata). The Fungiidae exhibited low diazotroph abundance (based on nifH gene copy numbers) and activity (based on nifH gene expression and the absence of detectable nitrogen fixation rates). In contrast, the mostly autotrophic Pocilloporidae exhibited nifH gene copy numbers and gene expression two orders of magnitude higher than in the Fungiidae, which coincided with detectable nitrogen fixation activity. Based on these data, we suggest that nitrogen fixation compensates for the low heterotrophic nitrogen uptake in autotrophic corals. Consequently, the ecological importance of diazotrophy in coral holobionts may be determined by the trophic functional group of the host.","container-title":"Frontiers in Microbiology","ISSN":"1664-302X","source":"Frontiers","title":"Nitrogen Fixation Aligns with nifH Abundance and Expression in Two Coral Trophic Functional Groups","URL":"https://www.frontiersin.org/articles/10.3389/fmicb.2017.01187","volume":"8","author":[{"family":"Pogoreutz","given":"Claudia"},{"family":"Rädecker","given":"Nils"},{"family":"Cárdenas","given":"Anny"},{"family":"Gärdes","given":"Astrid"},{"family":"Wild","given":"Christian"},{"family":"Voolstra","given":"Christian R."}],"accessed":{"date-parts":[["2022",7,20]]},"issued":{"date-parts":[["2017"]]}}},{"id":558,"uris":["http://zotero.org/users/local/ahqjqVuV/items/4FD35KLB"],"itemData":{"id":558,"type":"article-journal","abstract":"The metabolic capacity for nitrogen fixation is known to be present in several prokaryotic species scattered across taxonomic groups. Experimental detection of nitrogen fixation in microbes requires species-specific conditions, making it difficult to obtain a comprehensive census of this trait. The recent and rapid increase in the availability of microbial genome sequences affords novel opportunities to re-examine the occurrence and distribution of nitrogen fixation genes. The current practice for computational prediction of nitrogen fixation is to use the presence of the nifH and/or nifD genes.","container-title":"BMC Genomics","DOI":"10.1186/1471-2164-13-162","ISSN":"1471-2164","issue":"1","journalAbbreviation":"BMC Genomics","page":"162","source":"BioMed Central","title":"Distribution of nitrogen fixation and nitrogenase-like sequences amongst microbial genomes","volume":"13","author":[{"family":"Dos Santos","given":"Patricia C."},{"family":"Fang","given":"Zhong"},{"family":"Mason","given":"Steven W."},{"family":"Setubal","given":"João C."},{"family":"Dixon","given":"Ray"}],"issued":{"date-parts":[["2012",5,3]]}}}],"schema":"https://github.com/citation-style-language/schema/raw/master/csl-citation.json"} </w:instrText>
      </w:r>
      <w:r w:rsidRPr="00643E01">
        <w:fldChar w:fldCharType="separate"/>
      </w:r>
      <w:r w:rsidRPr="00643E01">
        <w:t>(Dos Santos et al., 2012; Pogoreutz et al., 2017)</w:t>
      </w:r>
      <w:r w:rsidRPr="00643E01">
        <w:fldChar w:fldCharType="end"/>
      </w:r>
      <w:r w:rsidRPr="00643E01">
        <w:t>. The amounts of N</w:t>
      </w:r>
      <w:r w:rsidRPr="00643E01">
        <w:rPr>
          <w:vertAlign w:val="subscript"/>
        </w:rPr>
        <w:t>2</w:t>
      </w:r>
      <w:r w:rsidRPr="00643E01">
        <w:t xml:space="preserve">-fixing bacteria after 340 days of enrichment are reported in </w:t>
      </w:r>
      <w:r w:rsidR="00083056" w:rsidRPr="00D92A9F">
        <w:fldChar w:fldCharType="begin"/>
      </w:r>
      <w:r w:rsidR="00083056" w:rsidRPr="00D92A9F">
        <w:instrText xml:space="preserve"> REF _Ref129081459 \h  \* MERGEFORMAT </w:instrText>
      </w:r>
      <w:r w:rsidR="00083056" w:rsidRPr="00D92A9F">
        <w:fldChar w:fldCharType="separate"/>
      </w:r>
      <w:r w:rsidR="00EB659D">
        <w:t>T</w:t>
      </w:r>
      <w:r w:rsidR="00083056" w:rsidRPr="00D92A9F">
        <w:t>able 1</w:t>
      </w:r>
      <w:r w:rsidR="00083056" w:rsidRPr="00D92A9F">
        <w:fldChar w:fldCharType="end"/>
      </w:r>
      <w:r w:rsidRPr="00643E01">
        <w:t xml:space="preserve">. The average </w:t>
      </w:r>
      <w:r w:rsidRPr="00643E01">
        <w:rPr>
          <w:i/>
        </w:rPr>
        <w:t>nifH</w:t>
      </w:r>
      <w:r w:rsidRPr="00643E01">
        <w:t xml:space="preserve"> gene concentration in PCE was estimated at 7.8 10</w:t>
      </w:r>
      <w:r w:rsidRPr="00643E01">
        <w:rPr>
          <w:vertAlign w:val="superscript"/>
        </w:rPr>
        <w:t>7</w:t>
      </w:r>
      <w:r w:rsidRPr="00643E01">
        <w:t xml:space="preserve"> copies</w:t>
      </w:r>
      <w:r w:rsidRPr="00643E01">
        <w:rPr>
          <w:i/>
          <w:vertAlign w:val="subscript"/>
        </w:rPr>
        <w:t>nifH</w:t>
      </w:r>
      <w:r w:rsidRPr="00643E01">
        <w:t>/mL, two orders of magnitude higher than the average concentration of 8.3 10</w:t>
      </w:r>
      <w:r w:rsidRPr="00643E01">
        <w:rPr>
          <w:vertAlign w:val="superscript"/>
        </w:rPr>
        <w:t>5</w:t>
      </w:r>
      <w:r w:rsidRPr="00643E01">
        <w:t xml:space="preserve"> copies</w:t>
      </w:r>
      <w:r w:rsidRPr="00643E01">
        <w:rPr>
          <w:i/>
          <w:vertAlign w:val="subscript"/>
        </w:rPr>
        <w:t>nifH</w:t>
      </w:r>
      <w:r w:rsidRPr="00643E01">
        <w:t>/mL measured in the H</w:t>
      </w:r>
      <w:r w:rsidRPr="00643E01">
        <w:rPr>
          <w:vertAlign w:val="subscript"/>
        </w:rPr>
        <w:t>2</w:t>
      </w:r>
      <w:r w:rsidR="00CF1002">
        <w:t>E</w:t>
      </w:r>
      <w:r w:rsidRPr="00643E01">
        <w:t xml:space="preserve"> enrichment bottles. This observation was surprising since N</w:t>
      </w:r>
      <w:r w:rsidRPr="00643E01">
        <w:rPr>
          <w:vertAlign w:val="subscript"/>
        </w:rPr>
        <w:t>2</w:t>
      </w:r>
      <w:r w:rsidRPr="00643E01">
        <w:t>-fixation rates were similar in both configurations (</w:t>
      </w:r>
      <w:r w:rsidR="00083056" w:rsidRPr="00127A82">
        <w:fldChar w:fldCharType="begin"/>
      </w:r>
      <w:r w:rsidR="00083056" w:rsidRPr="00127A82">
        <w:instrText xml:space="preserve"> REF _Ref129081504 \h </w:instrText>
      </w:r>
      <w:r w:rsidR="00D92A9F" w:rsidRPr="00127A82">
        <w:instrText xml:space="preserve"> \* MERGEFORMAT </w:instrText>
      </w:r>
      <w:r w:rsidR="00083056" w:rsidRPr="00127A82">
        <w:fldChar w:fldCharType="separate"/>
      </w:r>
      <w:r w:rsidR="00B83F23" w:rsidRPr="00127A82">
        <w:fldChar w:fldCharType="begin"/>
      </w:r>
      <w:r w:rsidR="00B83F23" w:rsidRPr="00127A82">
        <w:instrText xml:space="preserve"> REF _Ref129081504 \h </w:instrText>
      </w:r>
      <w:r w:rsidR="007C15C3" w:rsidRPr="00127A82">
        <w:instrText xml:space="preserve"> \* MERGEFORMAT </w:instrText>
      </w:r>
      <w:r w:rsidR="00B83F23" w:rsidRPr="00127A82">
        <w:fldChar w:fldCharType="separate"/>
      </w:r>
      <w:r w:rsidR="00C13637">
        <w:t>F</w:t>
      </w:r>
      <w:r w:rsidR="00B83F23" w:rsidRPr="00127A82">
        <w:t>igure 2</w:t>
      </w:r>
      <w:r w:rsidR="00B83F23" w:rsidRPr="00127A82">
        <w:fldChar w:fldCharType="end"/>
      </w:r>
      <w:r w:rsidR="00083056" w:rsidRPr="00127A82">
        <w:fldChar w:fldCharType="end"/>
      </w:r>
      <w:r w:rsidRPr="00643E01">
        <w:t xml:space="preserve">). This suggests that the fixation rate per </w:t>
      </w:r>
      <w:r w:rsidRPr="00643E01">
        <w:rPr>
          <w:i/>
        </w:rPr>
        <w:t>nifH</w:t>
      </w:r>
      <w:r w:rsidRPr="00643E01">
        <w:t xml:space="preserve"> copy was much higher in H</w:t>
      </w:r>
      <w:r w:rsidRPr="00643E01">
        <w:rPr>
          <w:vertAlign w:val="subscript"/>
        </w:rPr>
        <w:t>2</w:t>
      </w:r>
      <w:r w:rsidRPr="00643E01">
        <w:t xml:space="preserve">E than in PCE. The estimated specific activities per </w:t>
      </w:r>
      <w:r w:rsidRPr="00643E01">
        <w:rPr>
          <w:i/>
        </w:rPr>
        <w:t>nifH</w:t>
      </w:r>
      <w:r w:rsidRPr="00643E01">
        <w:t xml:space="preserve"> copy were indeed of 0.2±0.3 µmol</w:t>
      </w:r>
      <w:r w:rsidRPr="00643E01">
        <w:rPr>
          <w:vertAlign w:val="subscript"/>
        </w:rPr>
        <w:t>C2H4</w:t>
      </w:r>
      <w:r w:rsidRPr="00643E01">
        <w:t>/10</w:t>
      </w:r>
      <w:r w:rsidRPr="00643E01">
        <w:rPr>
          <w:vertAlign w:val="superscript"/>
        </w:rPr>
        <w:t>8</w:t>
      </w:r>
      <w:r w:rsidRPr="00643E01">
        <w:t xml:space="preserve"> copies</w:t>
      </w:r>
      <w:r w:rsidRPr="00643E01">
        <w:rPr>
          <w:i/>
          <w:vertAlign w:val="subscript"/>
        </w:rPr>
        <w:t>nifH</w:t>
      </w:r>
      <w:r w:rsidRPr="00643E01">
        <w:t>.d in the PCE and 2.1±0.7 µmol</w:t>
      </w:r>
      <w:r w:rsidRPr="00643E01">
        <w:rPr>
          <w:vertAlign w:val="subscript"/>
        </w:rPr>
        <w:t>C2H4</w:t>
      </w:r>
      <w:r w:rsidRPr="00643E01">
        <w:t>/10</w:t>
      </w:r>
      <w:r w:rsidRPr="00643E01">
        <w:rPr>
          <w:vertAlign w:val="superscript"/>
        </w:rPr>
        <w:t>8</w:t>
      </w:r>
      <w:r w:rsidRPr="00643E01">
        <w:t xml:space="preserve"> copies</w:t>
      </w:r>
      <w:r w:rsidRPr="00643E01">
        <w:rPr>
          <w:i/>
          <w:vertAlign w:val="subscript"/>
        </w:rPr>
        <w:t>nifH</w:t>
      </w:r>
      <w:r w:rsidRPr="00643E01">
        <w:t>.d in H</w:t>
      </w:r>
      <w:r w:rsidRPr="00643E01">
        <w:rPr>
          <w:vertAlign w:val="subscript"/>
        </w:rPr>
        <w:t>2</w:t>
      </w:r>
      <w:r w:rsidR="00BB6A31">
        <w:t>E</w:t>
      </w:r>
      <w:r w:rsidRPr="00643E01">
        <w:t xml:space="preserve"> bottles </w:t>
      </w:r>
      <w:r w:rsidR="00CF1002">
        <w:t>(</w:t>
      </w:r>
      <w:r w:rsidR="00CF1002" w:rsidRPr="00127A82">
        <w:fldChar w:fldCharType="begin"/>
      </w:r>
      <w:r w:rsidR="00CF1002" w:rsidRPr="00127A82">
        <w:instrText xml:space="preserve"> REF _Ref129081459 \h </w:instrText>
      </w:r>
      <w:r w:rsidR="00C43881" w:rsidRPr="00127A82">
        <w:instrText xml:space="preserve"> \* MERGEFORMAT </w:instrText>
      </w:r>
      <w:r w:rsidR="00CF1002" w:rsidRPr="00127A82">
        <w:fldChar w:fldCharType="separate"/>
      </w:r>
      <w:r w:rsidR="00CF1002" w:rsidRPr="00127A82">
        <w:t>Table 2</w:t>
      </w:r>
      <w:r w:rsidR="00CF1002" w:rsidRPr="00127A82">
        <w:fldChar w:fldCharType="end"/>
      </w:r>
      <w:r w:rsidRPr="00643E01">
        <w:t xml:space="preserve">). Furthermore, the comparison between </w:t>
      </w:r>
      <w:r w:rsidRPr="00643E01">
        <w:rPr>
          <w:i/>
        </w:rPr>
        <w:t>nifH</w:t>
      </w:r>
      <w:r w:rsidRPr="00643E01">
        <w:t xml:space="preserve"> gene and 16S r</w:t>
      </w:r>
      <w:r w:rsidR="00CF1002">
        <w:t>D</w:t>
      </w:r>
      <w:r w:rsidRPr="00643E01">
        <w:t xml:space="preserve">NA copy numbers gives an idea of the proportions of </w:t>
      </w:r>
      <w:r w:rsidR="00CF1002" w:rsidRPr="00CF1002">
        <w:t>N</w:t>
      </w:r>
      <w:r w:rsidR="00CF1002" w:rsidRPr="00CF1002">
        <w:rPr>
          <w:vertAlign w:val="subscript"/>
        </w:rPr>
        <w:t>2</w:t>
      </w:r>
      <w:r w:rsidRPr="00643E01">
        <w:t xml:space="preserve"> fixing bacteria in each microbial community. Interestingly, this proportion was 18% in H</w:t>
      </w:r>
      <w:r w:rsidRPr="00643E01">
        <w:rPr>
          <w:vertAlign w:val="subscript"/>
        </w:rPr>
        <w:t>2</w:t>
      </w:r>
      <w:r w:rsidR="00CF1002">
        <w:t>E</w:t>
      </w:r>
      <w:r w:rsidRPr="00643E01">
        <w:t xml:space="preserve"> bottles that was four times higher than the value of 4.6% in PCE</w:t>
      </w:r>
      <w:r>
        <w:t xml:space="preserve"> </w:t>
      </w:r>
      <w:r w:rsidRPr="00643E01">
        <w:t>(</w:t>
      </w:r>
      <w:r w:rsidR="00CF1002" w:rsidRPr="00127A82">
        <w:fldChar w:fldCharType="begin"/>
      </w:r>
      <w:r w:rsidR="00CF1002" w:rsidRPr="00127A82">
        <w:instrText xml:space="preserve"> REF _Ref129081459 \h </w:instrText>
      </w:r>
      <w:r w:rsidR="00C43881" w:rsidRPr="00127A82">
        <w:instrText xml:space="preserve"> \* MERGEFORMAT </w:instrText>
      </w:r>
      <w:r w:rsidR="00CF1002" w:rsidRPr="00127A82">
        <w:fldChar w:fldCharType="separate"/>
      </w:r>
      <w:r w:rsidR="00CF1002" w:rsidRPr="00127A82">
        <w:t>Table 2</w:t>
      </w:r>
      <w:r w:rsidR="00CF1002" w:rsidRPr="00127A82">
        <w:fldChar w:fldCharType="end"/>
      </w:r>
      <w:r w:rsidRPr="00643E01">
        <w:t>). Therefore, N</w:t>
      </w:r>
      <w:r w:rsidRPr="00643E01">
        <w:rPr>
          <w:vertAlign w:val="subscript"/>
        </w:rPr>
        <w:t>2</w:t>
      </w:r>
      <w:r w:rsidRPr="00643E01">
        <w:t xml:space="preserve">-fixing bacteria constituted a smaller proportion of the </w:t>
      </w:r>
      <w:r w:rsidRPr="00643E01">
        <w:lastRenderedPageBreak/>
        <w:t>bacterial populations in PCE than in H</w:t>
      </w:r>
      <w:r w:rsidRPr="00643E01">
        <w:rPr>
          <w:vertAlign w:val="subscript"/>
        </w:rPr>
        <w:t>2</w:t>
      </w:r>
      <w:r w:rsidRPr="00643E01">
        <w:t>E and only a small proportion of the bacteria participated to N</w:t>
      </w:r>
      <w:r w:rsidRPr="00643E01">
        <w:rPr>
          <w:vertAlign w:val="subscript"/>
        </w:rPr>
        <w:t>2</w:t>
      </w:r>
      <w:r w:rsidRPr="00643E01">
        <w:t xml:space="preserve"> fixation in the PCE. In nPCE controls, the biomass was higher than in H</w:t>
      </w:r>
      <w:r w:rsidRPr="00643E01">
        <w:rPr>
          <w:vertAlign w:val="subscript"/>
        </w:rPr>
        <w:t>2</w:t>
      </w:r>
      <w:r w:rsidR="00CF1002">
        <w:t>E</w:t>
      </w:r>
      <w:r w:rsidRPr="00643E01">
        <w:t xml:space="preserve"> and the </w:t>
      </w:r>
      <w:r w:rsidRPr="00643E01">
        <w:rPr>
          <w:i/>
        </w:rPr>
        <w:t>nifH</w:t>
      </w:r>
      <w:r w:rsidRPr="00643E01">
        <w:t>/16S ratio lower (</w:t>
      </w:r>
      <w:r w:rsidR="00CF1002" w:rsidRPr="00127A82">
        <w:fldChar w:fldCharType="begin"/>
      </w:r>
      <w:r w:rsidR="00CF1002" w:rsidRPr="00127A82">
        <w:instrText xml:space="preserve"> REF _Ref129081459 \h </w:instrText>
      </w:r>
      <w:r w:rsidR="00C43881" w:rsidRPr="00127A82">
        <w:instrText xml:space="preserve"> \* MERGEFORMAT </w:instrText>
      </w:r>
      <w:r w:rsidR="00CF1002" w:rsidRPr="00127A82">
        <w:fldChar w:fldCharType="separate"/>
      </w:r>
      <w:r w:rsidR="00CF1002" w:rsidRPr="00127A82">
        <w:t>Table</w:t>
      </w:r>
      <w:r w:rsidR="00CF1002" w:rsidRPr="00127A82">
        <w:rPr>
          <w:sz w:val="18"/>
        </w:rPr>
        <w:t xml:space="preserve"> </w:t>
      </w:r>
      <w:r w:rsidR="00CF1002" w:rsidRPr="00127A82">
        <w:t>2</w:t>
      </w:r>
      <w:r w:rsidR="00CF1002" w:rsidRPr="00127A82">
        <w:fldChar w:fldCharType="end"/>
      </w:r>
      <w:r w:rsidRPr="00643E01">
        <w:t xml:space="preserve">). </w:t>
      </w:r>
      <w:r w:rsidR="006B19F5" w:rsidRPr="00C13637">
        <w:rPr>
          <w:highlight w:val="yellow"/>
        </w:rPr>
        <w:t>This higher biomass concentration was likely due to the enrichment period in presence of organic C (day 0 to 115 including 60 days in BES) for the PCE and nPCE enrichments. NH</w:t>
      </w:r>
      <w:r w:rsidR="006B19F5" w:rsidRPr="00C13637">
        <w:rPr>
          <w:highlight w:val="yellow"/>
          <w:vertAlign w:val="subscript"/>
        </w:rPr>
        <w:t>4</w:t>
      </w:r>
      <w:r w:rsidR="006B19F5" w:rsidRPr="00C13637">
        <w:rPr>
          <w:highlight w:val="yellow"/>
          <w:vertAlign w:val="superscript"/>
        </w:rPr>
        <w:t>+</w:t>
      </w:r>
      <w:r w:rsidR="006B19F5" w:rsidRPr="00C13637">
        <w:rPr>
          <w:highlight w:val="yellow"/>
        </w:rPr>
        <w:t xml:space="preserve"> in nPCE was also observed at a rate of 0.07 mg/L.d as presented in </w:t>
      </w:r>
      <w:r w:rsidR="006B19F5" w:rsidRPr="00C13637">
        <w:rPr>
          <w:highlight w:val="yellow"/>
        </w:rPr>
        <w:fldChar w:fldCharType="begin"/>
      </w:r>
      <w:r w:rsidR="006B19F5" w:rsidRPr="00C13637">
        <w:rPr>
          <w:highlight w:val="yellow"/>
        </w:rPr>
        <w:instrText xml:space="preserve"> REF _Ref129081459 \h  \* MERGEFORMAT </w:instrText>
      </w:r>
      <w:r w:rsidR="006B19F5" w:rsidRPr="00C13637">
        <w:rPr>
          <w:highlight w:val="yellow"/>
        </w:rPr>
      </w:r>
      <w:r w:rsidR="006B19F5" w:rsidRPr="00C13637">
        <w:rPr>
          <w:highlight w:val="yellow"/>
        </w:rPr>
        <w:fldChar w:fldCharType="separate"/>
      </w:r>
      <w:r w:rsidR="006B19F5" w:rsidRPr="00C13637">
        <w:rPr>
          <w:highlight w:val="yellow"/>
        </w:rPr>
        <w:t>Table 2</w:t>
      </w:r>
      <w:r w:rsidR="006B19F5" w:rsidRPr="00C13637">
        <w:rPr>
          <w:highlight w:val="yellow"/>
        </w:rPr>
        <w:fldChar w:fldCharType="end"/>
      </w:r>
      <w:r w:rsidR="006B19F5">
        <w:rPr>
          <w:highlight w:val="yellow"/>
        </w:rPr>
        <w:t xml:space="preserve"> </w:t>
      </w:r>
      <w:r w:rsidR="006B19F5" w:rsidRPr="00C13637">
        <w:rPr>
          <w:highlight w:val="yellow"/>
        </w:rPr>
        <w:t>but without acetylene accumulation, meaning that no N</w:t>
      </w:r>
      <w:r w:rsidR="006B19F5" w:rsidRPr="00C13637">
        <w:rPr>
          <w:highlight w:val="yellow"/>
          <w:vertAlign w:val="subscript"/>
        </w:rPr>
        <w:t>2</w:t>
      </w:r>
      <w:r w:rsidR="006B19F5" w:rsidRPr="00C13637">
        <w:rPr>
          <w:highlight w:val="yellow"/>
        </w:rPr>
        <w:t xml:space="preserve"> fixation occurred. In absence of electron source, nPCE enrichment communities could have been maintained through cryptic growth. The presence of NH</w:t>
      </w:r>
      <w:r w:rsidR="006B19F5" w:rsidRPr="00C13637">
        <w:rPr>
          <w:highlight w:val="yellow"/>
          <w:vertAlign w:val="subscript"/>
        </w:rPr>
        <w:t>4</w:t>
      </w:r>
      <w:r w:rsidR="006B19F5" w:rsidRPr="00C13637">
        <w:rPr>
          <w:highlight w:val="yellow"/>
          <w:vertAlign w:val="superscript"/>
        </w:rPr>
        <w:t>+</w:t>
      </w:r>
      <w:r w:rsidR="006B19F5" w:rsidRPr="00C13637">
        <w:rPr>
          <w:highlight w:val="yellow"/>
        </w:rPr>
        <w:t xml:space="preserve"> in the nPCE was likely related to cell lysis since no measurable fixation was detected by ARA even though significant biomass production was observed.</w:t>
      </w:r>
    </w:p>
    <w:p w14:paraId="6ABAD63B" w14:textId="22E43934" w:rsidR="00083056" w:rsidRPr="00E83D83" w:rsidRDefault="00083056" w:rsidP="00C13637">
      <w:pPr>
        <w:pStyle w:val="PCJtablelegend"/>
      </w:pPr>
      <w:bookmarkStart w:id="8" w:name="_Ref129081459"/>
      <w:r w:rsidRPr="00083056">
        <w:rPr>
          <w:b/>
        </w:rPr>
        <w:t xml:space="preserve">Table </w:t>
      </w:r>
      <w:r w:rsidRPr="00083056">
        <w:rPr>
          <w:b/>
        </w:rPr>
        <w:fldChar w:fldCharType="begin"/>
      </w:r>
      <w:r w:rsidRPr="00083056">
        <w:rPr>
          <w:b/>
        </w:rPr>
        <w:instrText xml:space="preserve"> SEQ Table \* ARABIC </w:instrText>
      </w:r>
      <w:r w:rsidRPr="00083056">
        <w:rPr>
          <w:b/>
        </w:rPr>
        <w:fldChar w:fldCharType="separate"/>
      </w:r>
      <w:r w:rsidR="008B3FF9">
        <w:rPr>
          <w:b/>
        </w:rPr>
        <w:t>2</w:t>
      </w:r>
      <w:r w:rsidRPr="00083056">
        <w:rPr>
          <w:b/>
        </w:rPr>
        <w:fldChar w:fldCharType="end"/>
      </w:r>
      <w:bookmarkEnd w:id="8"/>
      <w:r w:rsidRPr="00083056">
        <w:t xml:space="preserve"> - </w:t>
      </w:r>
      <w:r w:rsidR="00F870B6" w:rsidRPr="00C13637">
        <w:rPr>
          <w:highlight w:val="yellow"/>
        </w:rPr>
        <w:t xml:space="preserve">The average ammonium production rates, the number of </w:t>
      </w:r>
      <w:r w:rsidR="00F870B6" w:rsidRPr="00C13637">
        <w:rPr>
          <w:i/>
          <w:highlight w:val="yellow"/>
        </w:rPr>
        <w:t>nifH</w:t>
      </w:r>
      <w:r w:rsidR="00F870B6" w:rsidRPr="00C13637">
        <w:rPr>
          <w:highlight w:val="yellow"/>
        </w:rPr>
        <w:t xml:space="preserve"> gene copies, the number of 16S gene copies, and the </w:t>
      </w:r>
      <w:r w:rsidR="00F870B6" w:rsidRPr="00C13637">
        <w:rPr>
          <w:i/>
          <w:highlight w:val="yellow"/>
        </w:rPr>
        <w:t>nifH</w:t>
      </w:r>
      <w:r w:rsidR="00F870B6" w:rsidRPr="00C13637">
        <w:rPr>
          <w:highlight w:val="yellow"/>
        </w:rPr>
        <w:t>/16S ratio were assessed after 340 days for the three experimental configurations. Average values were measured on the last batch of 21 days, before 340 days of enrichment for the two polarized cathode enrichment (PCE), the two non-polarized Cathode Enrichments (nPCE) and the six H</w:t>
      </w:r>
      <w:r w:rsidR="00F870B6" w:rsidRPr="00C13637">
        <w:rPr>
          <w:highlight w:val="yellow"/>
          <w:vertAlign w:val="subscript"/>
        </w:rPr>
        <w:t>2</w:t>
      </w:r>
      <w:r w:rsidR="00F870B6" w:rsidRPr="00C13637">
        <w:rPr>
          <w:highlight w:val="yellow"/>
        </w:rPr>
        <w:t xml:space="preserve"> enrichment bottles (H</w:t>
      </w:r>
      <w:r w:rsidR="00F870B6" w:rsidRPr="00C13637">
        <w:rPr>
          <w:highlight w:val="yellow"/>
          <w:vertAlign w:val="subscript"/>
        </w:rPr>
        <w:t>2</w:t>
      </w:r>
      <w:r w:rsidR="00F870B6" w:rsidRPr="00C13637">
        <w:rPr>
          <w:highlight w:val="yellow"/>
        </w:rPr>
        <w:t>E</w:t>
      </w:r>
      <w:r w:rsidR="00F870B6">
        <w:rPr>
          <w:highlight w:val="yellow"/>
        </w:rPr>
        <w:t>)</w:t>
      </w:r>
    </w:p>
    <w:tbl>
      <w:tblPr>
        <w:tblStyle w:val="Grilledutableau"/>
        <w:tblW w:w="0" w:type="auto"/>
        <w:tblLook w:val="04A0" w:firstRow="1" w:lastRow="0" w:firstColumn="1" w:lastColumn="0" w:noHBand="0" w:noVBand="1"/>
      </w:tblPr>
      <w:tblGrid>
        <w:gridCol w:w="2252"/>
        <w:gridCol w:w="2253"/>
        <w:gridCol w:w="2253"/>
        <w:gridCol w:w="2253"/>
      </w:tblGrid>
      <w:tr w:rsidR="00643E01" w:rsidRPr="00643E01" w14:paraId="324D3131" w14:textId="77777777" w:rsidTr="00083056">
        <w:tc>
          <w:tcPr>
            <w:tcW w:w="2252" w:type="dxa"/>
          </w:tcPr>
          <w:p w14:paraId="551209F7" w14:textId="77777777" w:rsidR="00643E01" w:rsidRPr="00643E01" w:rsidRDefault="00643E01" w:rsidP="00643E01">
            <w:pPr>
              <w:widowControl w:val="0"/>
              <w:rPr>
                <w:rFonts w:eastAsia="Times New Roman" w:cs="Calibri"/>
                <w:noProof/>
                <w:sz w:val="16"/>
              </w:rPr>
            </w:pPr>
          </w:p>
        </w:tc>
        <w:tc>
          <w:tcPr>
            <w:tcW w:w="2253" w:type="dxa"/>
          </w:tcPr>
          <w:p w14:paraId="30152BB6"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PCE</w:t>
            </w:r>
          </w:p>
        </w:tc>
        <w:tc>
          <w:tcPr>
            <w:tcW w:w="2253" w:type="dxa"/>
          </w:tcPr>
          <w:p w14:paraId="373ABCEF"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nPCE</w:t>
            </w:r>
          </w:p>
        </w:tc>
        <w:tc>
          <w:tcPr>
            <w:tcW w:w="2253" w:type="dxa"/>
          </w:tcPr>
          <w:p w14:paraId="636EF22A"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H</w:t>
            </w:r>
            <w:r w:rsidRPr="00643E01">
              <w:rPr>
                <w:rFonts w:eastAsia="Times New Roman" w:cs="Calibri"/>
                <w:noProof/>
                <w:sz w:val="16"/>
                <w:vertAlign w:val="subscript"/>
              </w:rPr>
              <w:t>2</w:t>
            </w:r>
            <w:r w:rsidRPr="00643E01">
              <w:rPr>
                <w:rFonts w:eastAsia="Times New Roman" w:cs="Calibri"/>
                <w:noProof/>
                <w:sz w:val="16"/>
              </w:rPr>
              <w:t>E</w:t>
            </w:r>
          </w:p>
        </w:tc>
      </w:tr>
      <w:tr w:rsidR="00643E01" w:rsidRPr="00643E01" w14:paraId="4F8B1586" w14:textId="77777777" w:rsidTr="00083056">
        <w:tc>
          <w:tcPr>
            <w:tcW w:w="2252" w:type="dxa"/>
          </w:tcPr>
          <w:p w14:paraId="5664E8E9" w14:textId="77777777" w:rsidR="00643E01" w:rsidRPr="00643E01" w:rsidRDefault="00643E01" w:rsidP="00643E01">
            <w:pPr>
              <w:widowControl w:val="0"/>
              <w:rPr>
                <w:rFonts w:eastAsia="Times New Roman" w:cs="Calibri"/>
                <w:i/>
                <w:noProof/>
                <w:sz w:val="16"/>
              </w:rPr>
            </w:pPr>
            <w:r w:rsidRPr="00643E01">
              <w:rPr>
                <w:rFonts w:eastAsia="Times New Roman" w:cs="Calibri"/>
                <w:noProof/>
                <w:sz w:val="16"/>
              </w:rPr>
              <w:t>N-NH</w:t>
            </w:r>
            <w:r w:rsidRPr="00643E01">
              <w:rPr>
                <w:rFonts w:eastAsia="Times New Roman" w:cs="Calibri"/>
                <w:noProof/>
                <w:sz w:val="16"/>
                <w:vertAlign w:val="subscript"/>
              </w:rPr>
              <w:t>4</w:t>
            </w:r>
            <w:r w:rsidRPr="00643E01">
              <w:rPr>
                <w:rFonts w:eastAsia="Times New Roman" w:cs="Calibri"/>
                <w:noProof/>
                <w:sz w:val="16"/>
                <w:vertAlign w:val="superscript"/>
              </w:rPr>
              <w:t>+</w:t>
            </w:r>
            <w:r w:rsidRPr="00643E01">
              <w:rPr>
                <w:rFonts w:eastAsia="Times New Roman" w:cs="Calibri"/>
                <w:noProof/>
                <w:sz w:val="16"/>
              </w:rPr>
              <w:t xml:space="preserve"> </w:t>
            </w:r>
            <w:r w:rsidRPr="00643E01">
              <w:rPr>
                <w:rFonts w:eastAsia="Times New Roman" w:cs="Calibri"/>
                <w:i/>
                <w:noProof/>
                <w:sz w:val="16"/>
              </w:rPr>
              <w:t>mg/L.d</w:t>
            </w:r>
          </w:p>
        </w:tc>
        <w:tc>
          <w:tcPr>
            <w:tcW w:w="2253" w:type="dxa"/>
          </w:tcPr>
          <w:p w14:paraId="784810C0"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0.07±0.01</w:t>
            </w:r>
          </w:p>
        </w:tc>
        <w:tc>
          <w:tcPr>
            <w:tcW w:w="2253" w:type="dxa"/>
          </w:tcPr>
          <w:p w14:paraId="7FB79B58"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0.07±0.01</w:t>
            </w:r>
          </w:p>
        </w:tc>
        <w:tc>
          <w:tcPr>
            <w:tcW w:w="2253" w:type="dxa"/>
          </w:tcPr>
          <w:p w14:paraId="41CF7A13"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0.04±0.03</w:t>
            </w:r>
          </w:p>
        </w:tc>
      </w:tr>
      <w:tr w:rsidR="00643E01" w:rsidRPr="00643E01" w14:paraId="69296BF2" w14:textId="77777777" w:rsidTr="00083056">
        <w:tc>
          <w:tcPr>
            <w:tcW w:w="2252" w:type="dxa"/>
          </w:tcPr>
          <w:p w14:paraId="25C5A1BA" w14:textId="77777777" w:rsidR="00643E01" w:rsidRPr="00643E01" w:rsidRDefault="00643E01" w:rsidP="00643E01">
            <w:pPr>
              <w:widowControl w:val="0"/>
              <w:rPr>
                <w:rFonts w:eastAsia="Times New Roman" w:cs="Calibri"/>
                <w:i/>
                <w:noProof/>
                <w:sz w:val="16"/>
              </w:rPr>
            </w:pPr>
            <w:r w:rsidRPr="00643E01">
              <w:rPr>
                <w:rFonts w:eastAsia="Times New Roman" w:cs="Calibri"/>
                <w:i/>
                <w:noProof/>
                <w:sz w:val="16"/>
              </w:rPr>
              <w:t>nifH</w:t>
            </w:r>
            <w:r w:rsidRPr="00643E01">
              <w:rPr>
                <w:rFonts w:eastAsia="Times New Roman" w:cs="Calibri"/>
                <w:noProof/>
                <w:sz w:val="16"/>
              </w:rPr>
              <w:t xml:space="preserve"> gene copies </w:t>
            </w:r>
            <w:r w:rsidRPr="00643E01">
              <w:rPr>
                <w:rFonts w:eastAsia="Times New Roman" w:cs="Calibri"/>
                <w:i/>
                <w:noProof/>
                <w:sz w:val="16"/>
              </w:rPr>
              <w:t>copies/mL</w:t>
            </w:r>
          </w:p>
        </w:tc>
        <w:tc>
          <w:tcPr>
            <w:tcW w:w="2253" w:type="dxa"/>
          </w:tcPr>
          <w:p w14:paraId="29DA3390" w14:textId="77777777" w:rsidR="00643E01" w:rsidRPr="00643E01" w:rsidRDefault="00643E01" w:rsidP="00643E01">
            <w:pPr>
              <w:widowControl w:val="0"/>
              <w:rPr>
                <w:rFonts w:eastAsia="Times New Roman" w:cs="Calibri"/>
                <w:noProof/>
                <w:sz w:val="16"/>
                <w:vertAlign w:val="superscript"/>
              </w:rPr>
            </w:pPr>
            <w:r w:rsidRPr="00643E01">
              <w:rPr>
                <w:rFonts w:eastAsia="Times New Roman" w:cs="Calibri"/>
                <w:noProof/>
                <w:sz w:val="16"/>
              </w:rPr>
              <w:t>7.8±9.5 10</w:t>
            </w:r>
            <w:r w:rsidRPr="00643E01">
              <w:rPr>
                <w:rFonts w:eastAsia="Times New Roman" w:cs="Calibri"/>
                <w:noProof/>
                <w:sz w:val="16"/>
                <w:vertAlign w:val="superscript"/>
              </w:rPr>
              <w:t>7</w:t>
            </w:r>
          </w:p>
        </w:tc>
        <w:tc>
          <w:tcPr>
            <w:tcW w:w="2253" w:type="dxa"/>
          </w:tcPr>
          <w:p w14:paraId="32F8F0BB" w14:textId="77777777" w:rsidR="00643E01" w:rsidRPr="00643E01" w:rsidRDefault="00643E01" w:rsidP="00643E01">
            <w:pPr>
              <w:widowControl w:val="0"/>
              <w:rPr>
                <w:rFonts w:eastAsia="Times New Roman" w:cs="Calibri"/>
                <w:noProof/>
                <w:sz w:val="16"/>
                <w:vertAlign w:val="superscript"/>
              </w:rPr>
            </w:pPr>
            <w:r w:rsidRPr="00643E01">
              <w:rPr>
                <w:rFonts w:eastAsia="Times New Roman" w:cs="Calibri"/>
                <w:noProof/>
                <w:sz w:val="16"/>
              </w:rPr>
              <w:t>2.5±2.8 10</w:t>
            </w:r>
            <w:r w:rsidRPr="00643E01">
              <w:rPr>
                <w:rFonts w:eastAsia="Times New Roman" w:cs="Calibri"/>
                <w:noProof/>
                <w:sz w:val="16"/>
                <w:vertAlign w:val="superscript"/>
              </w:rPr>
              <w:t>6</w:t>
            </w:r>
          </w:p>
        </w:tc>
        <w:tc>
          <w:tcPr>
            <w:tcW w:w="2253" w:type="dxa"/>
          </w:tcPr>
          <w:p w14:paraId="13381279" w14:textId="77777777" w:rsidR="00643E01" w:rsidRPr="00643E01" w:rsidRDefault="00643E01" w:rsidP="00643E01">
            <w:pPr>
              <w:widowControl w:val="0"/>
              <w:rPr>
                <w:rFonts w:eastAsia="Times New Roman" w:cs="Calibri"/>
                <w:noProof/>
                <w:sz w:val="16"/>
                <w:vertAlign w:val="superscript"/>
              </w:rPr>
            </w:pPr>
            <w:r w:rsidRPr="00643E01">
              <w:rPr>
                <w:rFonts w:eastAsia="Times New Roman" w:cs="Calibri"/>
                <w:noProof/>
                <w:sz w:val="16"/>
              </w:rPr>
              <w:t>8.3±2.2 10</w:t>
            </w:r>
            <w:r w:rsidRPr="00643E01">
              <w:rPr>
                <w:rFonts w:eastAsia="Times New Roman" w:cs="Calibri"/>
                <w:noProof/>
                <w:sz w:val="16"/>
                <w:vertAlign w:val="superscript"/>
              </w:rPr>
              <w:t>5</w:t>
            </w:r>
          </w:p>
        </w:tc>
      </w:tr>
      <w:tr w:rsidR="00643E01" w:rsidRPr="00643E01" w14:paraId="61E67824" w14:textId="77777777" w:rsidTr="00083056">
        <w:tc>
          <w:tcPr>
            <w:tcW w:w="2252" w:type="dxa"/>
          </w:tcPr>
          <w:p w14:paraId="751F0165" w14:textId="77777777" w:rsidR="00643E01" w:rsidRPr="00643E01" w:rsidRDefault="00643E01" w:rsidP="00643E01">
            <w:pPr>
              <w:widowControl w:val="0"/>
              <w:rPr>
                <w:rFonts w:eastAsia="Times New Roman" w:cs="Calibri"/>
                <w:i/>
                <w:noProof/>
                <w:sz w:val="16"/>
              </w:rPr>
            </w:pPr>
            <w:r w:rsidRPr="00643E01">
              <w:rPr>
                <w:rFonts w:eastAsia="Times New Roman" w:cs="Calibri"/>
                <w:noProof/>
                <w:sz w:val="16"/>
              </w:rPr>
              <w:t xml:space="preserve">16S rDNA gene copies </w:t>
            </w:r>
            <w:r w:rsidRPr="00643E01">
              <w:rPr>
                <w:rFonts w:eastAsia="Times New Roman" w:cs="Calibri"/>
                <w:i/>
                <w:noProof/>
                <w:sz w:val="16"/>
              </w:rPr>
              <w:t>copies/mL</w:t>
            </w:r>
          </w:p>
        </w:tc>
        <w:tc>
          <w:tcPr>
            <w:tcW w:w="2253" w:type="dxa"/>
          </w:tcPr>
          <w:p w14:paraId="418581C4" w14:textId="77777777" w:rsidR="00643E01" w:rsidRPr="00643E01" w:rsidRDefault="00643E01" w:rsidP="00643E01">
            <w:pPr>
              <w:widowControl w:val="0"/>
              <w:rPr>
                <w:rFonts w:eastAsia="Times New Roman" w:cs="Calibri"/>
                <w:noProof/>
                <w:sz w:val="16"/>
                <w:vertAlign w:val="superscript"/>
              </w:rPr>
            </w:pPr>
            <w:r w:rsidRPr="00643E01">
              <w:rPr>
                <w:rFonts w:eastAsia="Times New Roman" w:cs="Calibri"/>
                <w:noProof/>
                <w:sz w:val="16"/>
              </w:rPr>
              <w:t>1.7±1.9 10</w:t>
            </w:r>
            <w:r w:rsidRPr="00643E01">
              <w:rPr>
                <w:rFonts w:eastAsia="Times New Roman" w:cs="Calibri"/>
                <w:noProof/>
                <w:sz w:val="16"/>
                <w:vertAlign w:val="superscript"/>
              </w:rPr>
              <w:t>9</w:t>
            </w:r>
          </w:p>
        </w:tc>
        <w:tc>
          <w:tcPr>
            <w:tcW w:w="2253" w:type="dxa"/>
          </w:tcPr>
          <w:p w14:paraId="39D022A1" w14:textId="77777777" w:rsidR="00643E01" w:rsidRPr="00643E01" w:rsidRDefault="00643E01" w:rsidP="00643E01">
            <w:pPr>
              <w:widowControl w:val="0"/>
              <w:rPr>
                <w:rFonts w:eastAsia="Times New Roman" w:cs="Calibri"/>
                <w:noProof/>
                <w:sz w:val="16"/>
                <w:vertAlign w:val="superscript"/>
              </w:rPr>
            </w:pPr>
            <w:r w:rsidRPr="00643E01">
              <w:rPr>
                <w:rFonts w:eastAsia="Times New Roman" w:cs="Calibri"/>
                <w:noProof/>
                <w:sz w:val="16"/>
              </w:rPr>
              <w:t>1.4±0.2 10</w:t>
            </w:r>
            <w:r w:rsidRPr="00643E01">
              <w:rPr>
                <w:rFonts w:eastAsia="Times New Roman" w:cs="Calibri"/>
                <w:noProof/>
                <w:sz w:val="16"/>
                <w:vertAlign w:val="superscript"/>
              </w:rPr>
              <w:t>8</w:t>
            </w:r>
          </w:p>
        </w:tc>
        <w:tc>
          <w:tcPr>
            <w:tcW w:w="2253" w:type="dxa"/>
          </w:tcPr>
          <w:p w14:paraId="00CD5FF2" w14:textId="77777777" w:rsidR="00643E01" w:rsidRPr="00643E01" w:rsidRDefault="00643E01" w:rsidP="00643E01">
            <w:pPr>
              <w:widowControl w:val="0"/>
              <w:rPr>
                <w:rFonts w:eastAsia="Times New Roman" w:cs="Calibri"/>
                <w:noProof/>
                <w:sz w:val="16"/>
                <w:vertAlign w:val="superscript"/>
              </w:rPr>
            </w:pPr>
            <w:r w:rsidRPr="00643E01">
              <w:rPr>
                <w:rFonts w:eastAsia="Times New Roman" w:cs="Calibri"/>
                <w:noProof/>
                <w:sz w:val="16"/>
              </w:rPr>
              <w:t>4.6±1.5 10</w:t>
            </w:r>
            <w:r w:rsidRPr="00643E01">
              <w:rPr>
                <w:rFonts w:eastAsia="Times New Roman" w:cs="Calibri"/>
                <w:noProof/>
                <w:sz w:val="16"/>
                <w:vertAlign w:val="superscript"/>
              </w:rPr>
              <w:t>6</w:t>
            </w:r>
          </w:p>
        </w:tc>
      </w:tr>
      <w:tr w:rsidR="00643E01" w:rsidRPr="00643E01" w14:paraId="5234CB90" w14:textId="77777777" w:rsidTr="00083056">
        <w:tc>
          <w:tcPr>
            <w:tcW w:w="2252" w:type="dxa"/>
          </w:tcPr>
          <w:p w14:paraId="619BE3E1" w14:textId="77777777" w:rsidR="00643E01" w:rsidRPr="00643E01" w:rsidRDefault="00643E01" w:rsidP="00643E01">
            <w:pPr>
              <w:widowControl w:val="0"/>
              <w:rPr>
                <w:rFonts w:eastAsia="Times New Roman" w:cs="Calibri"/>
                <w:noProof/>
                <w:sz w:val="16"/>
              </w:rPr>
            </w:pPr>
            <w:r w:rsidRPr="00643E01">
              <w:rPr>
                <w:rFonts w:eastAsia="Times New Roman" w:cs="Calibri"/>
                <w:i/>
                <w:noProof/>
                <w:sz w:val="16"/>
              </w:rPr>
              <w:t>nifH</w:t>
            </w:r>
            <w:r w:rsidRPr="00643E01">
              <w:rPr>
                <w:rFonts w:eastAsia="Times New Roman" w:cs="Calibri"/>
                <w:noProof/>
                <w:sz w:val="16"/>
              </w:rPr>
              <w:t>/16S</w:t>
            </w:r>
          </w:p>
        </w:tc>
        <w:tc>
          <w:tcPr>
            <w:tcW w:w="2253" w:type="dxa"/>
          </w:tcPr>
          <w:p w14:paraId="34821C22"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3.8 %</w:t>
            </w:r>
          </w:p>
        </w:tc>
        <w:tc>
          <w:tcPr>
            <w:tcW w:w="2253" w:type="dxa"/>
          </w:tcPr>
          <w:p w14:paraId="7E7E25AE"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1.7 %</w:t>
            </w:r>
          </w:p>
        </w:tc>
        <w:tc>
          <w:tcPr>
            <w:tcW w:w="2253" w:type="dxa"/>
          </w:tcPr>
          <w:p w14:paraId="4878828A" w14:textId="77777777" w:rsidR="00643E01" w:rsidRPr="00643E01" w:rsidRDefault="00643E01" w:rsidP="00643E01">
            <w:pPr>
              <w:widowControl w:val="0"/>
              <w:rPr>
                <w:rFonts w:eastAsia="Times New Roman" w:cs="Calibri"/>
                <w:noProof/>
                <w:sz w:val="16"/>
              </w:rPr>
            </w:pPr>
            <w:r w:rsidRPr="00643E01">
              <w:rPr>
                <w:rFonts w:eastAsia="Times New Roman" w:cs="Calibri"/>
                <w:noProof/>
                <w:sz w:val="16"/>
              </w:rPr>
              <w:t>19.0 %</w:t>
            </w:r>
          </w:p>
        </w:tc>
      </w:tr>
    </w:tbl>
    <w:p w14:paraId="4E722E93" w14:textId="77777777" w:rsidR="00643E01" w:rsidRDefault="00643E01" w:rsidP="00643E01">
      <w:pPr>
        <w:pStyle w:val="PCJSubsection"/>
      </w:pPr>
    </w:p>
    <w:p w14:paraId="0D71A063" w14:textId="0D113F7C" w:rsidR="00643E01" w:rsidRPr="00643E01" w:rsidRDefault="00643E01" w:rsidP="00643E01">
      <w:pPr>
        <w:pStyle w:val="PCJSubsection"/>
      </w:pPr>
      <w:r w:rsidRPr="00456C92">
        <w:rPr>
          <w:highlight w:val="yellow"/>
        </w:rPr>
        <w:t>Current density and Autotrophic enrichment in polarized cathode enrichment</w:t>
      </w:r>
    </w:p>
    <w:p w14:paraId="5B22A76B" w14:textId="28734820" w:rsidR="00643E01" w:rsidRPr="00643E01" w:rsidRDefault="00643E01" w:rsidP="00643E01">
      <w:pPr>
        <w:pStyle w:val="PCJtext"/>
      </w:pPr>
      <w:r w:rsidRPr="00643E01">
        <w:t xml:space="preserve">The average current density for the two PCE over experimental time is shown in </w:t>
      </w:r>
      <w:r w:rsidR="00B83F23" w:rsidRPr="00127A82">
        <w:fldChar w:fldCharType="begin"/>
      </w:r>
      <w:r w:rsidR="00B83F23" w:rsidRPr="00127A82">
        <w:instrText xml:space="preserve"> REF _Ref122363552 \h </w:instrText>
      </w:r>
      <w:r w:rsidR="007C15C3" w:rsidRPr="00127A82">
        <w:instrText xml:space="preserve"> \* MERGEFORMAT </w:instrText>
      </w:r>
      <w:r w:rsidR="00B83F23" w:rsidRPr="00127A82">
        <w:fldChar w:fldCharType="separate"/>
      </w:r>
      <w:r w:rsidR="004113F2">
        <w:t>F</w:t>
      </w:r>
      <w:r w:rsidR="00B83F23" w:rsidRPr="00127A82">
        <w:t>igure 3</w:t>
      </w:r>
      <w:r w:rsidR="00B83F23" w:rsidRPr="00127A82">
        <w:fldChar w:fldCharType="end"/>
      </w:r>
      <w:r w:rsidRPr="00643E01">
        <w:t>. As the current measured at the cathode was negative by convention, a more negative corresponded to a higher reduction activity. Regarding the current densities in the abiotic systems, the average current densities were measured at -0.75 A/m² for two times four days with an organic C source and -1.1 A/m² for 16 days with only CO</w:t>
      </w:r>
      <w:r w:rsidRPr="00643E01">
        <w:rPr>
          <w:vertAlign w:val="subscript"/>
        </w:rPr>
        <w:t>2</w:t>
      </w:r>
      <w:r w:rsidRPr="00643E01">
        <w:t xml:space="preserve"> as the carbon source.</w:t>
      </w:r>
    </w:p>
    <w:p w14:paraId="5B7D8937" w14:textId="410B2993" w:rsidR="00643E01" w:rsidRDefault="00643E01" w:rsidP="00643E01">
      <w:pPr>
        <w:pStyle w:val="PCJtext"/>
      </w:pPr>
      <w:r w:rsidRPr="00643E01">
        <w:t>The average current density measured in the PCE was not different from the current density measured in the abiotic control (approximately -1 A/m²</w:t>
      </w:r>
      <w:r w:rsidR="009F0379">
        <w:t xml:space="preserve"> with organic C supply</w:t>
      </w:r>
      <w:r w:rsidRPr="00643E01">
        <w:t>) for the first 45 days of operation (days 55 to 100 of the enrichment</w:t>
      </w:r>
      <w:r w:rsidRPr="00C13637">
        <w:t xml:space="preserve">). </w:t>
      </w:r>
      <w:r w:rsidR="00F870B6" w:rsidRPr="00C13637">
        <w:rPr>
          <w:highlight w:val="yellow"/>
        </w:rPr>
        <w:t>An increase up to -2 A/m² appeared between 100 and 115 days of enrichment in PCE. CO</w:t>
      </w:r>
      <w:r w:rsidR="00F870B6" w:rsidRPr="00C13637">
        <w:rPr>
          <w:highlight w:val="yellow"/>
          <w:vertAlign w:val="subscript"/>
        </w:rPr>
        <w:t>2</w:t>
      </w:r>
      <w:r w:rsidR="00F870B6" w:rsidRPr="00C13637">
        <w:rPr>
          <w:highlight w:val="yellow"/>
        </w:rPr>
        <w:t xml:space="preserve"> was then used as sole carbon source after this increase appeared. Following this change in carbon source, a sharp increase in current density to -5 A/m² was observed in the PCE with regards to the range of current densities in the abiotic controls (approximately -2 A/m² on CO</w:t>
      </w:r>
      <w:r w:rsidR="00F870B6" w:rsidRPr="00C13637">
        <w:rPr>
          <w:highlight w:val="yellow"/>
          <w:vertAlign w:val="subscript"/>
        </w:rPr>
        <w:t>2</w:t>
      </w:r>
      <w:r w:rsidR="00F870B6" w:rsidRPr="00C13637">
        <w:rPr>
          <w:highlight w:val="yellow"/>
        </w:rPr>
        <w:t>)(</w:t>
      </w:r>
      <w:r w:rsidR="00F870B6" w:rsidRPr="00C13637">
        <w:rPr>
          <w:highlight w:val="yellow"/>
        </w:rPr>
        <w:fldChar w:fldCharType="begin"/>
      </w:r>
      <w:r w:rsidR="00F870B6" w:rsidRPr="00C13637">
        <w:rPr>
          <w:highlight w:val="yellow"/>
        </w:rPr>
        <w:instrText xml:space="preserve"> REF _Ref122363552 \h  \* MERGEFORMAT </w:instrText>
      </w:r>
      <w:r w:rsidR="00F870B6" w:rsidRPr="00C13637">
        <w:rPr>
          <w:highlight w:val="yellow"/>
        </w:rPr>
      </w:r>
      <w:r w:rsidR="00F870B6" w:rsidRPr="00C13637">
        <w:rPr>
          <w:highlight w:val="yellow"/>
        </w:rPr>
        <w:fldChar w:fldCharType="separate"/>
      </w:r>
      <w:r w:rsidR="00F870B6" w:rsidRPr="00C13637">
        <w:rPr>
          <w:highlight w:val="yellow"/>
        </w:rPr>
        <w:t>Figure 3</w:t>
      </w:r>
      <w:r w:rsidR="00F870B6" w:rsidRPr="00C13637">
        <w:rPr>
          <w:highlight w:val="yellow"/>
        </w:rPr>
        <w:fldChar w:fldCharType="end"/>
      </w:r>
      <w:r w:rsidR="00F870B6" w:rsidRPr="00C13637">
        <w:rPr>
          <w:highlight w:val="yellow"/>
        </w:rPr>
        <w:t>).</w:t>
      </w:r>
      <w:r w:rsidR="00F870B6" w:rsidRPr="00B43857">
        <w:rPr>
          <w:i/>
        </w:rPr>
        <w:t xml:space="preserve"> </w:t>
      </w:r>
      <w:r w:rsidRPr="00643E01">
        <w:t>The higher current density was assumed to be associated to the electroactive activity of electron uptake by enriched bacteria. The current density in the PCE then continuously increased until day 250 of the enrichment to reach a value of -15 A/m².</w:t>
      </w:r>
    </w:p>
    <w:p w14:paraId="7A05D88C" w14:textId="079FDC35" w:rsidR="00023F62" w:rsidRPr="00643E01" w:rsidRDefault="00EB659D" w:rsidP="00023F62">
      <w:pPr>
        <w:pStyle w:val="PCJtext"/>
      </w:pPr>
      <w:r w:rsidRPr="00C13637">
        <w:rPr>
          <w:highlight w:val="yellow"/>
        </w:rPr>
        <w:t>The high current density observed after 250 days of enrichment indicated a high redox activity linked either to hydrogen evolution, oxygen reduction, or possibly direct electron transfer. As proposed by Z. Zaybak et al</w:t>
      </w:r>
      <w:r w:rsidR="00402127">
        <w:rPr>
          <w:highlight w:val="yellow"/>
        </w:rPr>
        <w:t>.</w:t>
      </w:r>
      <w:r w:rsidRPr="00C13637">
        <w:rPr>
          <w:highlight w:val="yellow"/>
        </w:rPr>
        <w:t xml:space="preserve"> </w:t>
      </w:r>
      <w:r w:rsidRPr="00C13637">
        <w:rPr>
          <w:highlight w:val="yellow"/>
        </w:rPr>
        <w:fldChar w:fldCharType="begin"/>
      </w:r>
      <w:r w:rsidR="00402127">
        <w:rPr>
          <w:highlight w:val="yellow"/>
        </w:rPr>
        <w:instrText xml:space="preserve"> ADDIN ZOTERO_ITEM CSL_CITATION {"citationID":"mfkqggeH","properties":{"formattedCitation":"(Zaybak et al., 2013)","plainCitation":"(Zaybak et al., 2013)","dontUpdate":true,"noteIndex":0},"citationItems":[{"id":450,"uris":["http://zotero.org/users/local/ahqjqVuV/items/4UKJM6WQ"],"itemData":{"id":450,"type":"article-journal","abstract":"Biocathodes in bioelectrochemical systems (BESs) can be used to convert CO2 into diverse organic compounds through a process called microbial electrosynthesis. Unfortunately, start-up of anaerobic biocathodes in BESs is a difficult and time consuming process. Here, a pre-enrichment method was developed to improve start-up of anaerobic facultatively autotrophic biocathodes capable of using cathodes as the electron donor (electrotrophs) and CO2 as the electron acceptor. Anaerobic enrichment of bacteria from freshwater bog sediment samples was first performed in batch cultures fed with glucose and then used to inoculate BES cathode chambers set at −0.4V (versus a standard hydrogen electrode; SHE). After two weeks of heterotrophic operation of BESs, CO2 was provided as the sole electron acceptor and carbon source. Consumption of electrons from cathodes increased gradually and was sustained for about two months in concert with a significant decrease in cathode chamber headspace CO2. The maximum current density consumed was −34±4mA/m2. Biosynthesis resulted in organic compounds that included butanol, ethanol, acetate, propionate, butyrate, and hydrogen gas. Bacterial community analyses based on 16S rRNA gene clone libraries revealed Trichococcus palustris DSM 9172 (99% sequence identity) as the prevailing species in biocathode communities, followed by Oscillibacter sp. and Clostridium sp. Isolates from autotrophic cultivation were most closely related to Clostridium propionicum (99% sequence identity; ZZ16), Clostridium celerecrescens (98–99%; ZZ22, ZZ23), Desulfotomaculum sp. (97%; ZZ21), and Tissierella sp. (98%; ZZ25). This pre-enrichment procedure enables simplified start-up of anaerobic biocathodes for applications such as electrofuel production by facultatively autotrophic electrotrophs.","container-title":"Journal of Biotechnology","DOI":"10.1016/j.jbiotec.2013.10.001","ISSN":"0168-1656","issue":"4","journalAbbreviation":"Journal of Biotechnology","language":"en","page":"478-485","source":"ScienceDirect","title":"Enhanced start-up of anaerobic facultatively autotrophic biocathodes in bioelectrochemical systems","volume":"168","author":[{"family":"Zaybak","given":"Zehra"},{"family":"Pisciotta","given":"John M."},{"family":"Tokash","given":"Justin C."},{"family":"Logan","given":"Bruce E."}],"issued":{"date-parts":[["2013",12,1]]}}}],"schema":"https://github.com/citation-style-language/schema/raw/master/csl-citation.json"} </w:instrText>
      </w:r>
      <w:r w:rsidRPr="00C13637">
        <w:rPr>
          <w:highlight w:val="yellow"/>
        </w:rPr>
        <w:fldChar w:fldCharType="separate"/>
      </w:r>
      <w:r w:rsidRPr="00C13637">
        <w:rPr>
          <w:highlight w:val="yellow"/>
        </w:rPr>
        <w:t>(2013)</w:t>
      </w:r>
      <w:r w:rsidRPr="00C13637">
        <w:rPr>
          <w:highlight w:val="yellow"/>
        </w:rPr>
        <w:fldChar w:fldCharType="end"/>
      </w:r>
      <w:r w:rsidRPr="00C13637">
        <w:rPr>
          <w:highlight w:val="yellow"/>
        </w:rPr>
        <w:t>, the high activity was probably resulting from a high metabolic activity in the biofilm with significant microbial catabolic process</w:t>
      </w:r>
      <w:r w:rsidR="00402127">
        <w:rPr>
          <w:highlight w:val="yellow"/>
        </w:rPr>
        <w:t xml:space="preserve"> </w:t>
      </w:r>
      <w:r w:rsidR="00402127">
        <w:rPr>
          <w:highlight w:val="yellow"/>
        </w:rPr>
        <w:fldChar w:fldCharType="begin"/>
      </w:r>
      <w:r w:rsidR="00402127">
        <w:rPr>
          <w:highlight w:val="yellow"/>
        </w:rPr>
        <w:instrText xml:space="preserve"> ADDIN ZOTERO_ITEM CSL_CITATION {"citationID":"Z0j8DoRj","properties":{"formattedCitation":"(Zaybak et al., 2013)","plainCitation":"(Zaybak et al., 2013)","noteIndex":0},"citationItems":[{"id":450,"uris":["http://zotero.org/users/local/ahqjqVuV/items/4UKJM6WQ"],"itemData":{"id":450,"type":"article-journal","abstract":"Biocathodes in bioelectrochemical systems (BESs) can be used to convert CO2 into diverse organic compounds through a process called microbial electrosynthesis. Unfortunately, start-up of anaerobic biocathodes in BESs is a difficult and time consuming process. Here, a pre-enrichment method was developed to improve start-up of anaerobic facultatively autotrophic biocathodes capable of using cathodes as the electron donor (electrotrophs) and CO2 as the electron acceptor. Anaerobic enrichment of bacteria from freshwater bog sediment samples was first performed in batch cultures fed with glucose and then used to inoculate BES cathode chambers set at −0.4V (versus a standard hydrogen electrode; SHE). After two weeks of heterotrophic operation of BESs, CO2 was provided as the sole electron acceptor and carbon source. Consumption of electrons from cathodes increased gradually and was sustained for about two months in concert with a significant decrease in cathode chamber headspace CO2. The maximum current density consumed was −34±4mA/m2. Biosynthesis resulted in organic compounds that included butanol, ethanol, acetate, propionate, butyrate, and hydrogen gas. Bacterial community analyses based on 16S rRNA gene clone libraries revealed Trichococcus palustris DSM 9172 (99% sequence identity) as the prevailing species in biocathode communities, followed by Oscillibacter sp. and Clostridium sp. Isolates from autotrophic cultivation were most closely related to Clostridium propionicum (99% sequence identity; ZZ16), Clostridium celerecrescens (98–99%; ZZ22, ZZ23), Desulfotomaculum sp. (97%; ZZ21), and Tissierella sp. (98%; ZZ25). This pre-enrichment procedure enables simplified start-up of anaerobic biocathodes for applications such as electrofuel production by facultatively autotrophic electrotrophs.","container-title":"Journal of Biotechnology","DOI":"10.1016/j.jbiotec.2013.10.001","ISSN":"0168-1656","issue":"4","journalAbbreviation":"Journal of Biotechnology","language":"en","page":"478-485","source":"ScienceDirect","title":"Enhanced start-up of anaerobic facultatively autotrophic biocathodes in bioelectrochemical systems","volume":"168","author":[{"family":"Zaybak","given":"Zehra"},{"family":"Pisciotta","given":"John M."},{"family":"Tokash","given":"Justin C."},{"family":"Logan","given":"Bruce E."}],"issued":{"date-parts":[["2013",12,1]]}}}],"schema":"https://github.com/citation-style-language/schema/raw/master/csl-citation.json"} </w:instrText>
      </w:r>
      <w:r w:rsidR="00402127">
        <w:rPr>
          <w:highlight w:val="yellow"/>
        </w:rPr>
        <w:fldChar w:fldCharType="separate"/>
      </w:r>
      <w:r w:rsidR="00402127" w:rsidRPr="00402127">
        <w:rPr>
          <w:rFonts w:ascii="Calibri" w:hAnsi="Calibri" w:cs="Calibri"/>
          <w:highlight w:val="yellow"/>
        </w:rPr>
        <w:t>(Zaybak et al., 2013)</w:t>
      </w:r>
      <w:r w:rsidR="00402127">
        <w:rPr>
          <w:highlight w:val="yellow"/>
        </w:rPr>
        <w:fldChar w:fldCharType="end"/>
      </w:r>
      <w:r w:rsidRPr="00C13637">
        <w:rPr>
          <w:highlight w:val="yellow"/>
        </w:rPr>
        <w:t>.</w:t>
      </w:r>
      <w:r w:rsidRPr="00B43857">
        <w:rPr>
          <w:i/>
          <w:highlight w:val="yellow"/>
        </w:rPr>
        <w:t xml:space="preserve"> </w:t>
      </w:r>
      <w:r w:rsidR="00023F62" w:rsidRPr="00643E01">
        <w:t xml:space="preserve">Compared to the current densities obtained Rago et al. </w:t>
      </w:r>
      <w:r w:rsidR="00402127">
        <w:t>(</w:t>
      </w:r>
      <w:r w:rsidR="00023F62" w:rsidRPr="00643E01">
        <w:fldChar w:fldCharType="begin"/>
      </w:r>
      <w:r w:rsidR="00402127">
        <w:instrText xml:space="preserve"> ADDIN ZOTERO_ITEM CSL_CITATION {"citationID":"kLhlcd8p","properties":{"formattedCitation":"(Rago et al., 2019)","plainCitation":"(Rago et al., 2019)","dontUpdate":true,"noteIndex":0},"citationItems":[{"id":3,"uris":["http://zotero.org/users/local/ahqjqVuV/items/9WMCQQZA"],"itemData":{"id":3,"type":"article-journal","abstract":"A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023F62" w:rsidRPr="00643E01">
        <w:fldChar w:fldCharType="separate"/>
      </w:r>
      <w:r w:rsidR="00023F62" w:rsidRPr="00643E01">
        <w:t>2019)</w:t>
      </w:r>
      <w:r w:rsidR="00023F62" w:rsidRPr="00643E01">
        <w:fldChar w:fldCharType="end"/>
      </w:r>
      <w:r w:rsidR="00023F62" w:rsidRPr="00643E01">
        <w:t xml:space="preserve"> in the order of magnitude of -10 mA/m² at the same potential (-0.7 vs SHE), the current densities observed here (-5 to -10 A/m²) were about 1000 times higher. These current density levels are close to those measured by Zhang et al.</w:t>
      </w:r>
      <w:r w:rsidR="00C10BAA">
        <w:t xml:space="preserve"> (2022)</w:t>
      </w:r>
      <w:r w:rsidR="00023F62" w:rsidRPr="00643E01">
        <w:t xml:space="preserve"> who reported a maximum of -10 A/m² at the same applied potential</w:t>
      </w:r>
      <w:r w:rsidR="00C10BAA">
        <w:t xml:space="preserve"> </w:t>
      </w:r>
      <w:r w:rsidR="00C10BAA" w:rsidRPr="00643E01">
        <w:fldChar w:fldCharType="begin"/>
      </w:r>
      <w:r w:rsidR="00C10BAA">
        <w:instrText xml:space="preserve"> ADDIN ZOTERO_ITEM CSL_CITATION {"citationID":"SG6BySSW","properties":{"formattedCitation":"(Zhang et al., 2022)","plainCitation":"(Zhang et al., 2022)","noteIndex":0},"citationItems":[{"id":566,"uris":["http://zotero.org/users/local/ahqjqVuV/items/WG5R9KMX"],"itemData":{"id":566,"type":"article-journal","abstract":"Microbial electrosynthesis is a promising technology for high-value added products generation from organic and inorganic waste. In this work, autotrophic dual-chamber microbial electrolysis cells (MECs) were set up for N2 fixation at -0.9 V vs Ag/AgCl (sat. KCl) cathodic potential under ambient conditions. Higher NH4+ production yield (average value of 0.35 µmol h-1 cm-2, normalized to cathode surface area) and higher faradaic efficiency (FE, 20.25%) were obtained with intermittent addition of N2 and CO2, while the yield and FE were only 0.018 µmol h-1 cm-2 and 4.21% in the absence of CO2. Furthermore, cyclic voltammograms (CV) explained the bioelectrochemical behavior of N2 reduction was coupled with CO2 reduction in the autotrophic MECs. Microbial community analysis and functional prediction in the cathodic chamber revealed that Xanthobacter and Hydrogenophaga played as producers for N2 and CO2 fixation and Pannonibacter acting as a decomposer for converting organic nitrogen to ammonium. This work not only provided an optional bioelectrocatalytic method for N2 fixation with negative CO2-emissions but also revealed the mechanism of simultaneous fixation of N2 and CO2 via Calvin cycle in autotrophic MECs.","container-title":"Bioelectrochemistry (Amsterdam, Netherlands)","DOI":"10.1016/j.bioelechem.2021.108044","ISSN":"1878-562X","journalAbbreviation":"Bioelectrochemistry","language":"eng","note":"PMID: 34974371","page":"108044","source":"PubMed","title":"Improving electroautotrophic ammonium production from nitrogen gas by simultaneous carbon dioxide fixation in a dual-chamber microbial electrolysis cell","volume":"144","author":[{"family":"Zhang","given":"Lixia"},{"family":"Tian","given":"Chang"},{"family":"Wang","given":"Haoran"},{"family":"Gu","given":"Wenzhi"},{"family":"Zheng","given":"Decong"},{"family":"Cui","given":"Mengyao"},{"family":"Wang","given":"Xiaomei"},{"family":"He","given":"Xiaohong"},{"family":"Zhan","given":"Guoqiang"},{"family":"Li","given":"Daping"}],"issued":{"date-parts":[["2022",4]]}}}],"schema":"https://github.com/citation-style-language/schema/raw/master/csl-citation.json"} </w:instrText>
      </w:r>
      <w:r w:rsidR="00C10BAA" w:rsidRPr="00643E01">
        <w:fldChar w:fldCharType="separate"/>
      </w:r>
      <w:r w:rsidR="00C10BAA" w:rsidRPr="008F59C6">
        <w:rPr>
          <w:rFonts w:ascii="Calibri" w:hAnsi="Calibri" w:cs="Calibri"/>
        </w:rPr>
        <w:t>(Zhang et al., 2022)</w:t>
      </w:r>
      <w:r w:rsidR="00C10BAA" w:rsidRPr="00643E01">
        <w:fldChar w:fldCharType="end"/>
      </w:r>
      <w:r w:rsidR="00023F62" w:rsidRPr="00643E01">
        <w:t>.</w:t>
      </w:r>
    </w:p>
    <w:p w14:paraId="4D515D55" w14:textId="77777777" w:rsidR="00023F62" w:rsidRPr="00643E01" w:rsidRDefault="00023F62" w:rsidP="00023F62">
      <w:pPr>
        <w:pStyle w:val="PCJtext"/>
      </w:pPr>
      <w:r w:rsidRPr="00643E01">
        <w:t>After 230 days, power failures occurred, interrupting temporarily the current supply to the cathodes. An important decrease of the current density was observed afterwards, down to -5 A/m² after 260 days and -3 A/m² after 320 days. The lower current density reflected a change in the functioning of the microbial communities, leading to less electron exchange with the cathode.</w:t>
      </w:r>
    </w:p>
    <w:p w14:paraId="45766410" w14:textId="77777777" w:rsidR="00643E01" w:rsidRPr="00643E01" w:rsidRDefault="00643E01" w:rsidP="00643E01">
      <w:pPr>
        <w:pStyle w:val="PCJtext"/>
      </w:pPr>
    </w:p>
    <w:p w14:paraId="69E9A003" w14:textId="77777777" w:rsidR="00643E01" w:rsidRDefault="00643E01" w:rsidP="00CE127D">
      <w:pPr>
        <w:pStyle w:val="PCJtext"/>
      </w:pPr>
      <w:r>
        <w:rPr>
          <w:lang w:val="fr-FR"/>
        </w:rPr>
        <w:lastRenderedPageBreak/>
        <w:drawing>
          <wp:inline distT="0" distB="0" distL="0" distR="0" wp14:anchorId="01087D18" wp14:editId="3DB3A2C3">
            <wp:extent cx="4805680" cy="2289175"/>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5680" cy="2289175"/>
                    </a:xfrm>
                    <a:prstGeom prst="rect">
                      <a:avLst/>
                    </a:prstGeom>
                  </pic:spPr>
                </pic:pic>
              </a:graphicData>
            </a:graphic>
          </wp:inline>
        </w:drawing>
      </w:r>
    </w:p>
    <w:p w14:paraId="42AC8A00" w14:textId="51908A35" w:rsidR="00643E01" w:rsidRDefault="00643E01" w:rsidP="00C13637">
      <w:pPr>
        <w:pStyle w:val="PCJcaptionfigure"/>
      </w:pPr>
      <w:bookmarkStart w:id="9" w:name="_Ref122363552"/>
      <w:bookmarkStart w:id="10" w:name="_Toc122516448"/>
      <w:r w:rsidRPr="00643E01">
        <w:rPr>
          <w:b/>
        </w:rPr>
        <w:t xml:space="preserve">Figure </w:t>
      </w:r>
      <w:r w:rsidRPr="00643E01">
        <w:rPr>
          <w:b/>
        </w:rPr>
        <w:fldChar w:fldCharType="begin"/>
      </w:r>
      <w:r w:rsidRPr="00643E01">
        <w:rPr>
          <w:b/>
        </w:rPr>
        <w:instrText xml:space="preserve"> SEQ Figure \* ARABIC </w:instrText>
      </w:r>
      <w:r w:rsidRPr="00643E01">
        <w:rPr>
          <w:b/>
        </w:rPr>
        <w:fldChar w:fldCharType="separate"/>
      </w:r>
      <w:r w:rsidR="00D802AF">
        <w:rPr>
          <w:b/>
        </w:rPr>
        <w:t>3</w:t>
      </w:r>
      <w:r w:rsidRPr="00643E01">
        <w:rPr>
          <w:b/>
        </w:rPr>
        <w:fldChar w:fldCharType="end"/>
      </w:r>
      <w:bookmarkEnd w:id="9"/>
      <w:r w:rsidRPr="00643E01">
        <w:t> - Mean current density measured for the two PCE (blue line). Levels shown in red correspond to theoretical mean current density and standard deviation estimated from two abiotic electrochemical systems current densities. For abiotic electrochemical system, one batch of 2 days were made with Organic C and one batch of 16 days with CO</w:t>
      </w:r>
      <w:r w:rsidRPr="00643E01">
        <w:rPr>
          <w:vertAlign w:val="subscript"/>
        </w:rPr>
        <w:t>2</w:t>
      </w:r>
      <w:r w:rsidRPr="00643E01">
        <w:t>. The peaks observed are due to the batch operation of the PCE with disturbances each time the medium was renewed. Power failures occurred at 230 days and 260 days. The time indicated on the x axis corresponds to the experimental time starting at day 0 of the enrichment where soil samples were first introduced in the bottles with a medium containing organic C. Day 55 corresponds to the start of microbial electrochemical system with the precultured communities. The dashed line on day 110 corresponds to the passage on CO</w:t>
      </w:r>
      <w:r w:rsidRPr="00643E01">
        <w:rPr>
          <w:vertAlign w:val="subscript"/>
        </w:rPr>
        <w:t>2</w:t>
      </w:r>
      <w:r w:rsidRPr="00643E01">
        <w:t xml:space="preserve"> as the sole carbon source in PCE.</w:t>
      </w:r>
      <w:bookmarkEnd w:id="10"/>
      <w:r w:rsidR="00296B2E">
        <w:t xml:space="preserve"> </w:t>
      </w:r>
      <w:r w:rsidR="00296B2E" w:rsidRPr="00456C92">
        <w:rPr>
          <w:highlight w:val="yellow"/>
        </w:rPr>
        <w:t>A 5-day curve smoothing was applied on PCE current denstity curve.</w:t>
      </w:r>
    </w:p>
    <w:p w14:paraId="703705F4" w14:textId="77777777" w:rsidR="00643E01" w:rsidRPr="00643E01" w:rsidRDefault="00643E01" w:rsidP="00643E01">
      <w:pPr>
        <w:pStyle w:val="PCJSubsection"/>
      </w:pPr>
      <w:r w:rsidRPr="00643E01">
        <w:t>Biomass quantification</w:t>
      </w:r>
    </w:p>
    <w:p w14:paraId="09EC4752" w14:textId="1D91B144" w:rsidR="00643E01" w:rsidRPr="00643E01" w:rsidRDefault="00643E01" w:rsidP="00643E01">
      <w:pPr>
        <w:pStyle w:val="PCJtext"/>
      </w:pPr>
      <w:r w:rsidRPr="00643E01">
        <w:t>Bacterial biomass was monitored in the enrichments by measuring 16S rDNA concentrations by qPCR (</w:t>
      </w:r>
      <w:r w:rsidR="00B83F23" w:rsidRPr="00127A82">
        <w:fldChar w:fldCharType="begin"/>
      </w:r>
      <w:r w:rsidR="00B83F23" w:rsidRPr="00127A82">
        <w:instrText xml:space="preserve"> REF _Ref121472517 \h </w:instrText>
      </w:r>
      <w:r w:rsidR="007C15C3" w:rsidRPr="00127A82">
        <w:instrText xml:space="preserve"> \* MERGEFORMAT </w:instrText>
      </w:r>
      <w:r w:rsidR="00B83F23" w:rsidRPr="00127A82">
        <w:fldChar w:fldCharType="separate"/>
      </w:r>
      <w:r w:rsidR="00C13637">
        <w:t>F</w:t>
      </w:r>
      <w:r w:rsidR="00B83F23" w:rsidRPr="00127A82">
        <w:t>igure 4</w:t>
      </w:r>
      <w:r w:rsidR="00B83F23" w:rsidRPr="00127A82">
        <w:fldChar w:fldCharType="end"/>
      </w:r>
      <w:r w:rsidRPr="00643E01">
        <w:t xml:space="preserve">). At day 131 (18 days after switching from organic C to </w:t>
      </w:r>
      <w:r w:rsidRPr="00643E01">
        <w:rPr>
          <w:lang w:val="en-IN"/>
        </w:rPr>
        <w:t>CO</w:t>
      </w:r>
      <w:r w:rsidRPr="00643E01">
        <w:rPr>
          <w:vertAlign w:val="subscript"/>
          <w:lang w:val="en-IN"/>
        </w:rPr>
        <w:t>2</w:t>
      </w:r>
      <w:r w:rsidRPr="00643E01">
        <w:t>), the average 16S rDNA concentrations measured in the polarized cathode enrichment (PCE) and in the non-polarized cathode enrichment (nPCE) controls were 4.6±0.4 10</w:t>
      </w:r>
      <w:r w:rsidRPr="00643E01">
        <w:rPr>
          <w:vertAlign w:val="superscript"/>
        </w:rPr>
        <w:t>9</w:t>
      </w:r>
      <w:r w:rsidRPr="00643E01">
        <w:t xml:space="preserve"> and 4.2±1.2 10</w:t>
      </w:r>
      <w:r w:rsidRPr="00643E01">
        <w:rPr>
          <w:vertAlign w:val="superscript"/>
        </w:rPr>
        <w:t>9</w:t>
      </w:r>
      <w:r w:rsidRPr="00643E01">
        <w:t xml:space="preserve"> copies16SrDNA/mL, respectively. These concentrations corresponded to 9.4±1.0 10</w:t>
      </w:r>
      <w:r w:rsidRPr="00643E01">
        <w:rPr>
          <w:vertAlign w:val="superscript"/>
        </w:rPr>
        <w:t>8</w:t>
      </w:r>
      <w:r w:rsidRPr="00643E01">
        <w:t xml:space="preserve"> and 8.0±1.5 10</w:t>
      </w:r>
      <w:r w:rsidRPr="00643E01">
        <w:rPr>
          <w:vertAlign w:val="superscript"/>
        </w:rPr>
        <w:t>8</w:t>
      </w:r>
      <w:r w:rsidRPr="00643E01">
        <w:t xml:space="preserve"> bacteria/mL, respectively, as presented in </w:t>
      </w:r>
      <w:r w:rsidR="00B83F23" w:rsidRPr="00127A82">
        <w:fldChar w:fldCharType="begin"/>
      </w:r>
      <w:r w:rsidR="00B83F23" w:rsidRPr="00127A82">
        <w:instrText xml:space="preserve"> REF _Ref121472517 \h </w:instrText>
      </w:r>
      <w:r w:rsidR="007C15C3" w:rsidRPr="00127A82">
        <w:instrText xml:space="preserve"> \* MERGEFORMAT </w:instrText>
      </w:r>
      <w:r w:rsidR="00B83F23" w:rsidRPr="00127A82">
        <w:fldChar w:fldCharType="separate"/>
      </w:r>
      <w:r w:rsidR="00C13637">
        <w:t>F</w:t>
      </w:r>
      <w:r w:rsidR="00B83F23" w:rsidRPr="00127A82">
        <w:t>igure 4</w:t>
      </w:r>
      <w:r w:rsidR="00B83F23" w:rsidRPr="00127A82">
        <w:fldChar w:fldCharType="end"/>
      </w:r>
      <w:r w:rsidRPr="00643E01">
        <w:t xml:space="preserve">. These bacteria concentrations resulted from the first enrichment phase with organic C. During this phase, organic substrates were used as carbon and </w:t>
      </w:r>
      <w:r w:rsidRPr="00C13637">
        <w:rPr>
          <w:highlight w:val="yellow"/>
        </w:rPr>
        <w:t>e</w:t>
      </w:r>
      <w:r w:rsidR="00A573BE" w:rsidRPr="00C13637">
        <w:rPr>
          <w:highlight w:val="yellow"/>
        </w:rPr>
        <w:t>lectron</w:t>
      </w:r>
      <w:r w:rsidRPr="00643E01">
        <w:t xml:space="preserve"> sources for biomass growth in both configurations (PCE and nPCE). At day 214, the 16S rDNA concentration in the PCE </w:t>
      </w:r>
      <w:r w:rsidR="00A42C1B" w:rsidRPr="00456C92">
        <w:rPr>
          <w:highlight w:val="yellow"/>
        </w:rPr>
        <w:t>was used to calculate a concentration of</w:t>
      </w:r>
      <w:r w:rsidRPr="00643E01">
        <w:t xml:space="preserve"> 3.3±2.1 10</w:t>
      </w:r>
      <w:r w:rsidRPr="00643E01">
        <w:rPr>
          <w:vertAlign w:val="superscript"/>
        </w:rPr>
        <w:t>9</w:t>
      </w:r>
      <w:r w:rsidRPr="00643E01">
        <w:t xml:space="preserve"> bacteria/mL, corresponding to a biomass increase by a factor of 3.5 between 131 and 214 days (</w:t>
      </w:r>
      <w:r w:rsidR="00B83F23" w:rsidRPr="00127A82">
        <w:fldChar w:fldCharType="begin"/>
      </w:r>
      <w:r w:rsidR="00B83F23" w:rsidRPr="00127A82">
        <w:instrText xml:space="preserve"> REF _Ref121472517 \h </w:instrText>
      </w:r>
      <w:r w:rsidR="007C15C3" w:rsidRPr="00127A82">
        <w:instrText xml:space="preserve"> \* MERGEFORMAT </w:instrText>
      </w:r>
      <w:r w:rsidR="00B83F23" w:rsidRPr="00127A82">
        <w:fldChar w:fldCharType="separate"/>
      </w:r>
      <w:r w:rsidR="00C13637">
        <w:t>F</w:t>
      </w:r>
      <w:r w:rsidR="00B83F23" w:rsidRPr="00127A82">
        <w:t>igure 4</w:t>
      </w:r>
      <w:r w:rsidR="00B83F23" w:rsidRPr="00127A82">
        <w:fldChar w:fldCharType="end"/>
      </w:r>
      <w:r w:rsidRPr="00643E01">
        <w:t>). At the same time, the bacterial concentration dropped in nPCE from 8.0±1.5 10</w:t>
      </w:r>
      <w:r w:rsidRPr="00643E01">
        <w:rPr>
          <w:vertAlign w:val="superscript"/>
        </w:rPr>
        <w:t>8</w:t>
      </w:r>
      <w:r w:rsidRPr="00643E01">
        <w:t xml:space="preserve"> bacteria/mL to 3.0±0.8 10</w:t>
      </w:r>
      <w:r w:rsidRPr="00643E01">
        <w:rPr>
          <w:vertAlign w:val="superscript"/>
        </w:rPr>
        <w:t>8</w:t>
      </w:r>
      <w:r w:rsidRPr="00643E01">
        <w:t xml:space="preserve"> bacteria/mL. This drop was explained by the lack of available energy source for growth, which led to a sharp decrease of the bacterial populations. At day 214, the 16S rDNA concentration in PCE was therefore 11-fold higher than in nPCE controls. This difference is consistent with the difference reported by Rago </w:t>
      </w:r>
      <w:r w:rsidRPr="00643E01">
        <w:rPr>
          <w:i/>
        </w:rPr>
        <w:t>et al.</w:t>
      </w:r>
      <w:r w:rsidRPr="00643E01">
        <w:t xml:space="preserve"> between polarized and non-polarized conditions, with electroactive biocathodes enriched in autotrophic diazotrophic bacteria</w:t>
      </w:r>
      <w:r w:rsidR="00402127">
        <w:t xml:space="preserve"> </w:t>
      </w:r>
      <w:r w:rsidR="00402127" w:rsidRPr="00643E01">
        <w:fldChar w:fldCharType="begin"/>
      </w:r>
      <w:r w:rsidR="00402127" w:rsidRPr="00643E01">
        <w:instrText xml:space="preserve"> ADDIN ZOTERO_ITEM CSL_CITATION {"citationID":"HIAEw5Fg","properties":{"formattedCitation":"(Rago et al., 2019)","plainCitation":"(Rago et al., 2019)","noteIndex":0},"citationItems":[{"id":3,"uris":["http://zotero.org/users/local/ahqjqVuV/items/9WMCQQZA"],"itemData":{"id":3,"type":"article-journal","abstract":"A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402127" w:rsidRPr="00643E01">
        <w:fldChar w:fldCharType="separate"/>
      </w:r>
      <w:r w:rsidR="00402127" w:rsidRPr="00643E01">
        <w:t>(Rago et al., 2019)</w:t>
      </w:r>
      <w:r w:rsidR="00402127" w:rsidRPr="00643E01">
        <w:fldChar w:fldCharType="end"/>
      </w:r>
      <w:r w:rsidRPr="00643E01">
        <w:t xml:space="preserve">. These results suggested that the enriched microbial communities were able to use the electrodes polarized at -0.7 V vs. SHE as sole </w:t>
      </w:r>
      <w:r w:rsidRPr="00C13637">
        <w:rPr>
          <w:highlight w:val="yellow"/>
        </w:rPr>
        <w:t>e</w:t>
      </w:r>
      <w:r w:rsidR="00A573BE" w:rsidRPr="00C13637">
        <w:rPr>
          <w:highlight w:val="yellow"/>
        </w:rPr>
        <w:t>lectron</w:t>
      </w:r>
      <w:r w:rsidRPr="00643E01">
        <w:t xml:space="preserve"> sources to grow while fixing N</w:t>
      </w:r>
      <w:r w:rsidRPr="00643E01">
        <w:rPr>
          <w:vertAlign w:val="subscript"/>
        </w:rPr>
        <w:t>2</w:t>
      </w:r>
      <w:r w:rsidRPr="00643E01">
        <w:t>.</w:t>
      </w:r>
    </w:p>
    <w:p w14:paraId="4878DAFF" w14:textId="16FF8F1D" w:rsidR="00643E01" w:rsidRPr="00643E01" w:rsidRDefault="00643E01" w:rsidP="00643E01">
      <w:pPr>
        <w:pStyle w:val="PCJtext"/>
      </w:pPr>
      <w:r w:rsidRPr="00643E01">
        <w:t>In the H</w:t>
      </w:r>
      <w:r w:rsidRPr="00643E01">
        <w:rPr>
          <w:vertAlign w:val="subscript"/>
        </w:rPr>
        <w:t>2</w:t>
      </w:r>
      <w:r w:rsidRPr="00643E01">
        <w:t>-fed enrichment (H</w:t>
      </w:r>
      <w:r w:rsidRPr="00643E01">
        <w:rPr>
          <w:vertAlign w:val="subscript"/>
        </w:rPr>
        <w:t>2</w:t>
      </w:r>
      <w:r w:rsidRPr="00643E01">
        <w:t>E) bottles, the 16S rDNA concentration steadily decreased along the experiment. The concentration decreased from 1.1±1.3 10</w:t>
      </w:r>
      <w:r w:rsidRPr="00643E01">
        <w:rPr>
          <w:vertAlign w:val="superscript"/>
        </w:rPr>
        <w:t>9</w:t>
      </w:r>
      <w:r w:rsidRPr="00643E01">
        <w:t xml:space="preserve"> bacteria/ml at the beginning of the enrichment down to 1.3±0.3 10</w:t>
      </w:r>
      <w:r w:rsidRPr="00643E01">
        <w:rPr>
          <w:vertAlign w:val="superscript"/>
        </w:rPr>
        <w:t>6</w:t>
      </w:r>
      <w:r w:rsidRPr="00643E01">
        <w:t xml:space="preserve"> bacteria/ml after 340 days (</w:t>
      </w:r>
      <w:r w:rsidR="00B83F23" w:rsidRPr="00127A82">
        <w:fldChar w:fldCharType="begin"/>
      </w:r>
      <w:r w:rsidR="00B83F23" w:rsidRPr="00127A82">
        <w:instrText xml:space="preserve"> REF _Ref121472517 \h </w:instrText>
      </w:r>
      <w:r w:rsidR="007C15C3" w:rsidRPr="00127A82">
        <w:instrText xml:space="preserve"> \* MERGEFORMAT </w:instrText>
      </w:r>
      <w:r w:rsidR="00B83F23" w:rsidRPr="00127A82">
        <w:fldChar w:fldCharType="separate"/>
      </w:r>
      <w:r w:rsidR="00C13637">
        <w:t>F</w:t>
      </w:r>
      <w:r w:rsidR="00B83F23" w:rsidRPr="00127A82">
        <w:t>igure 4</w:t>
      </w:r>
      <w:r w:rsidR="00B83F23" w:rsidRPr="00127A82">
        <w:fldChar w:fldCharType="end"/>
      </w:r>
      <w:r w:rsidRPr="00643E01">
        <w:t>). These concentrations appear lower than the biomass concentrations observed in the PCE medium at the same time of enrichment, ie. 4.5±5.9 10</w:t>
      </w:r>
      <w:r w:rsidRPr="00643E01">
        <w:rPr>
          <w:vertAlign w:val="superscript"/>
        </w:rPr>
        <w:t>6</w:t>
      </w:r>
      <w:r w:rsidRPr="00643E01">
        <w:t xml:space="preserve"> bacteria/mL at day 244 and 8.6±8.8 10</w:t>
      </w:r>
      <w:r w:rsidRPr="00643E01">
        <w:rPr>
          <w:vertAlign w:val="superscript"/>
        </w:rPr>
        <w:t>6</w:t>
      </w:r>
      <w:r w:rsidRPr="00643E01">
        <w:t xml:space="preserve"> bacteria/mL at day 340. These results confirm that bacterial growth was higher on the cathodes than in an H</w:t>
      </w:r>
      <w:r w:rsidRPr="00643E01">
        <w:rPr>
          <w:vertAlign w:val="subscript"/>
        </w:rPr>
        <w:t>2</w:t>
      </w:r>
      <w:r w:rsidRPr="00643E01">
        <w:t xml:space="preserve"> supplied environment. It was therefore concluded that the PCE provided more favorable environment for biomass growth than H</w:t>
      </w:r>
      <w:r w:rsidRPr="00643E01">
        <w:rPr>
          <w:vertAlign w:val="subscript"/>
        </w:rPr>
        <w:t>2</w:t>
      </w:r>
      <w:r w:rsidRPr="00643E01">
        <w:t xml:space="preserve"> fed bottles as the surface provided by the electrode was likely favorable for biofilm growth.</w:t>
      </w:r>
    </w:p>
    <w:p w14:paraId="5F764A0B" w14:textId="6521F6EB" w:rsidR="00643E01" w:rsidRPr="00643E01" w:rsidRDefault="00643E01" w:rsidP="00643E01">
      <w:pPr>
        <w:pStyle w:val="PCJtext"/>
      </w:pPr>
      <w:r w:rsidRPr="00643E01">
        <w:t xml:space="preserve">We also calculated the </w:t>
      </w:r>
      <w:r w:rsidRPr="00643E01">
        <w:rPr>
          <w:i/>
        </w:rPr>
        <w:t>nifH</w:t>
      </w:r>
      <w:r w:rsidRPr="00643E01">
        <w:t>/16S ratio representing the part of bacteria able to fix N</w:t>
      </w:r>
      <w:r w:rsidRPr="00643E01">
        <w:rPr>
          <w:vertAlign w:val="subscript"/>
        </w:rPr>
        <w:t>2</w:t>
      </w:r>
      <w:r w:rsidRPr="00643E01">
        <w:t xml:space="preserve"> among the total bacteria. A ratio </w:t>
      </w:r>
      <w:r w:rsidRPr="00456C92">
        <w:rPr>
          <w:highlight w:val="yellow"/>
        </w:rPr>
        <w:t>of 0.</w:t>
      </w:r>
      <w:r w:rsidR="00AD00F8" w:rsidRPr="00456C92">
        <w:rPr>
          <w:highlight w:val="yellow"/>
        </w:rPr>
        <w:t>00</w:t>
      </w:r>
      <w:r w:rsidRPr="00456C92">
        <w:rPr>
          <w:highlight w:val="yellow"/>
        </w:rPr>
        <w:t>06</w:t>
      </w:r>
      <w:r w:rsidRPr="00643E01">
        <w:t xml:space="preserve"> of </w:t>
      </w:r>
      <w:r w:rsidRPr="00643E01">
        <w:rPr>
          <w:i/>
        </w:rPr>
        <w:t>nifH</w:t>
      </w:r>
      <w:r w:rsidRPr="00643E01">
        <w:t xml:space="preserve"> gene copies per 16S rDNA copy was measured for samples at the very beginning of enrichment, both for H</w:t>
      </w:r>
      <w:r w:rsidRPr="00643E01">
        <w:rPr>
          <w:vertAlign w:val="subscript"/>
        </w:rPr>
        <w:t>2</w:t>
      </w:r>
      <w:r w:rsidRPr="00643E01">
        <w:t>E and PCE. After 131 days, corresponding to the switch to CO</w:t>
      </w:r>
      <w:r w:rsidRPr="00643E01">
        <w:rPr>
          <w:vertAlign w:val="subscript"/>
        </w:rPr>
        <w:t>2</w:t>
      </w:r>
      <w:r w:rsidRPr="00643E01">
        <w:t xml:space="preserve"> as sole C-source, this level increased to </w:t>
      </w:r>
      <w:r w:rsidR="00AD00F8" w:rsidRPr="00456C92">
        <w:rPr>
          <w:highlight w:val="yellow"/>
        </w:rPr>
        <w:t>0.03</w:t>
      </w:r>
      <w:r w:rsidRPr="00643E01">
        <w:t xml:space="preserve"> in PCE and </w:t>
      </w:r>
      <w:r w:rsidR="00AD00F8" w:rsidRPr="00456C92">
        <w:rPr>
          <w:highlight w:val="yellow"/>
        </w:rPr>
        <w:t>0.02</w:t>
      </w:r>
      <w:r w:rsidRPr="00643E01">
        <w:t xml:space="preserve"> in nPCE control. These results are consistent with an </w:t>
      </w:r>
      <w:r w:rsidRPr="00643E01">
        <w:lastRenderedPageBreak/>
        <w:t xml:space="preserve">enrichment in diazotrophic bacteria during the enrichment phase on organic carbon </w:t>
      </w:r>
      <w:r w:rsidRPr="00643E01">
        <w:fldChar w:fldCharType="begin"/>
      </w:r>
      <w:r w:rsidRPr="00643E01">
        <w:instrText xml:space="preserve"> ADDIN ZOTERO_ITEM CSL_CITATION {"citationID":"yuVbVOYw","properties":{"formattedCitation":"(Bowers et al., 2008)","plainCitation":"(Bowers et al., 2008)","noteIndex":0},"citationItems":[{"id":806,"uris":["http://zotero.org/users/local/ahqjqVuV/items/HRH7NTWP"],"itemData":{"id":806,"type":"article-journal","abstract":"High levels of nitrogen fixation have been observed in the wastewaters of pulp and paper mills. In this study, we show that nitrogen fixation in a model pulp and paper wastewater treatment system is supported by a high density of nifH sequences that are of low diversity. Quantitative PCR revealed a ratio of nifH to 16S rDNA of 1.14 ± 0.76 which shows that very high levels of the nifH gene were enriched to support the high rates of nitrogen fixation that occur in this wastewater. Changes in wastewater composition and dissolved oxygen levels did not affect the nifH levels and allowed stable wastewater treatment. The nifH sequences identified display a similar profile to those seen in forest soil environments where nifH sequences derived from α-proteobacteria and β-proteobacteria are also prevalent.","container-title":"Applied Microbiology and Biotechnology","DOI":"10.1007/s00253-008-1486-2","ISSN":"1432-0614","issue":"5","journalAbbreviation":"Appl Microbiol Biotechnol","language":"en","page":"811-818","source":"Springer Link","title":"Composition of nifH in a wastewater treatment system reliant on N2 fixation","volume":"79","author":[{"family":"Bowers","given":"T. H."},{"family":"Reid","given":"N. M."},{"family":"Lloyd-Jones","given":"G."}],"issued":{"date-parts":[["2008",7,1]]}}}],"schema":"https://github.com/citation-style-language/schema/raw/master/csl-citation.json"} </w:instrText>
      </w:r>
      <w:r w:rsidRPr="00643E01">
        <w:fldChar w:fldCharType="separate"/>
      </w:r>
      <w:r w:rsidRPr="00643E01">
        <w:t>(Bowers et al., 2008)</w:t>
      </w:r>
      <w:r w:rsidRPr="00643E01">
        <w:fldChar w:fldCharType="end"/>
      </w:r>
      <w:r w:rsidRPr="00643E01">
        <w:t xml:space="preserve">. The bacterial enrichment in nPCE was likely possible as the organic C was used by the bacteria as energy source. After 214 days, the level decreased to </w:t>
      </w:r>
      <w:r w:rsidR="00AD00F8">
        <w:t>0.02</w:t>
      </w:r>
      <w:r w:rsidRPr="00643E01">
        <w:t xml:space="preserve"> in PCE but remained higher than the level at the beginning of enrichment. This variation suggests interactions within the community that favored the growth of non-N</w:t>
      </w:r>
      <w:r w:rsidRPr="00643E01">
        <w:rPr>
          <w:vertAlign w:val="subscript"/>
        </w:rPr>
        <w:t>2</w:t>
      </w:r>
      <w:r w:rsidRPr="00643E01">
        <w:t xml:space="preserve"> fixing bacteria after the shift to CO</w:t>
      </w:r>
      <w:r w:rsidRPr="00643E01">
        <w:rPr>
          <w:vertAlign w:val="subscript"/>
        </w:rPr>
        <w:t>2</w:t>
      </w:r>
      <w:r w:rsidRPr="00643E01">
        <w:t xml:space="preserve"> as sole C-source. After 340 days, the ratio of </w:t>
      </w:r>
      <w:r w:rsidRPr="00643E01">
        <w:rPr>
          <w:i/>
        </w:rPr>
        <w:t>nifH</w:t>
      </w:r>
      <w:r w:rsidRPr="00643E01">
        <w:t xml:space="preserve"> to 16S rDNA was </w:t>
      </w:r>
      <w:r w:rsidR="00AD00F8" w:rsidRPr="00456C92">
        <w:rPr>
          <w:highlight w:val="yellow"/>
        </w:rPr>
        <w:t>0.04</w:t>
      </w:r>
      <w:r w:rsidRPr="00643E01">
        <w:t xml:space="preserve">as presented in </w:t>
      </w:r>
      <w:r w:rsidR="006538F1" w:rsidRPr="00C13637">
        <w:fldChar w:fldCharType="begin"/>
      </w:r>
      <w:r w:rsidR="006538F1" w:rsidRPr="00C13637">
        <w:instrText xml:space="preserve"> REF _Ref129081459 \h </w:instrText>
      </w:r>
      <w:r w:rsidR="007C15C3" w:rsidRPr="00C13637">
        <w:instrText xml:space="preserve"> \* MERGEFORMAT </w:instrText>
      </w:r>
      <w:r w:rsidR="006538F1" w:rsidRPr="00C13637">
        <w:fldChar w:fldCharType="separate"/>
      </w:r>
      <w:r w:rsidR="00EB659D">
        <w:t>T</w:t>
      </w:r>
      <w:r w:rsidR="006538F1" w:rsidRPr="00C13637">
        <w:t>able 2</w:t>
      </w:r>
      <w:r w:rsidR="006538F1" w:rsidRPr="00C13637">
        <w:fldChar w:fldCharType="end"/>
      </w:r>
      <w:r w:rsidRPr="00C13637">
        <w:t>.</w:t>
      </w:r>
      <w:r w:rsidRPr="00643E01">
        <w:t xml:space="preserve"> In parallel, a ratio of </w:t>
      </w:r>
      <w:r w:rsidRPr="00643E01">
        <w:rPr>
          <w:i/>
        </w:rPr>
        <w:t>nifH</w:t>
      </w:r>
      <w:r w:rsidRPr="00643E01">
        <w:t xml:space="preserve"> to 16S rDNA of </w:t>
      </w:r>
      <w:r w:rsidR="00AD00F8">
        <w:t>0.90</w:t>
      </w:r>
      <w:r w:rsidRPr="00643E01">
        <w:t xml:space="preserve"> was measured for H</w:t>
      </w:r>
      <w:r w:rsidRPr="00643E01">
        <w:rPr>
          <w:vertAlign w:val="subscript"/>
        </w:rPr>
        <w:t>2</w:t>
      </w:r>
      <w:r w:rsidRPr="00643E01">
        <w:t>E at 244 days. Therefore, most of the bacteria were able to fix N</w:t>
      </w:r>
      <w:r w:rsidRPr="00643E01">
        <w:rPr>
          <w:vertAlign w:val="subscript"/>
        </w:rPr>
        <w:t>2</w:t>
      </w:r>
      <w:r w:rsidRPr="00643E01">
        <w:t xml:space="preserve"> in H</w:t>
      </w:r>
      <w:r w:rsidRPr="00643E01">
        <w:rPr>
          <w:vertAlign w:val="subscript"/>
        </w:rPr>
        <w:t>2</w:t>
      </w:r>
      <w:r w:rsidRPr="00643E01">
        <w:t xml:space="preserve">E bottles, confirming the efficient enrichment in diazotrophic bacteria </w:t>
      </w:r>
      <w:r w:rsidRPr="00643E01">
        <w:fldChar w:fldCharType="begin"/>
      </w:r>
      <w:r w:rsidRPr="00643E01">
        <w:instrText xml:space="preserve"> ADDIN ZOTERO_ITEM CSL_CITATION {"citationID":"1me92EAW","properties":{"formattedCitation":"(Bowers et al., 2008)","plainCitation":"(Bowers et al., 2008)","noteIndex":0},"citationItems":[{"id":806,"uris":["http://zotero.org/users/local/ahqjqVuV/items/HRH7NTWP"],"itemData":{"id":806,"type":"article-journal","abstract":"High levels of nitrogen fixation have been observed in the wastewaters of pulp and paper mills. In this study, we show that nitrogen fixation in a model pulp and paper wastewater treatment system is supported by a high density of nifH sequences that are of low diversity. Quantitative PCR revealed a ratio of nifH to 16S rDNA of 1.14 ± 0.76 which shows that very high levels of the nifH gene were enriched to support the high rates of nitrogen fixation that occur in this wastewater. Changes in wastewater composition and dissolved oxygen levels did not affect the nifH levels and allowed stable wastewater treatment. The nifH sequences identified display a similar profile to those seen in forest soil environments where nifH sequences derived from α-proteobacteria and β-proteobacteria are also prevalent.","container-title":"Applied Microbiology and Biotechnology","DOI":"10.1007/s00253-008-1486-2","ISSN":"1432-0614","issue":"5","journalAbbreviation":"Appl Microbiol Biotechnol","language":"en","page":"811-818","source":"Springer Link","title":"Composition of nifH in a wastewater treatment system reliant on N2 fixation","volume":"79","author":[{"family":"Bowers","given":"T. H."},{"family":"Reid","given":"N. M."},{"family":"Lloyd-Jones","given":"G."}],"issued":{"date-parts":[["2008",7,1]]}}}],"schema":"https://github.com/citation-style-language/schema/raw/master/csl-citation.json"} </w:instrText>
      </w:r>
      <w:r w:rsidRPr="00643E01">
        <w:fldChar w:fldCharType="separate"/>
      </w:r>
      <w:r w:rsidRPr="00643E01">
        <w:t>(Bowers et al., 2008)</w:t>
      </w:r>
      <w:r w:rsidRPr="00643E01">
        <w:fldChar w:fldCharType="end"/>
      </w:r>
      <w:r w:rsidRPr="00643E01">
        <w:t>. Given the loss of biomass observed in H</w:t>
      </w:r>
      <w:r w:rsidRPr="00643E01">
        <w:rPr>
          <w:vertAlign w:val="subscript"/>
        </w:rPr>
        <w:t>2</w:t>
      </w:r>
      <w:r w:rsidRPr="00643E01">
        <w:t xml:space="preserve">E during the experiment </w:t>
      </w:r>
      <w:r w:rsidRPr="00127A82">
        <w:t>(</w:t>
      </w:r>
      <w:r w:rsidR="00B83F23" w:rsidRPr="00127A82">
        <w:fldChar w:fldCharType="begin"/>
      </w:r>
      <w:r w:rsidR="00B83F23" w:rsidRPr="00127A82">
        <w:instrText xml:space="preserve"> REF _Ref121472517 \h </w:instrText>
      </w:r>
      <w:r w:rsidR="007C15C3" w:rsidRPr="00127A82">
        <w:instrText xml:space="preserve"> \* MERGEFORMAT </w:instrText>
      </w:r>
      <w:r w:rsidR="00B83F23" w:rsidRPr="00127A82">
        <w:fldChar w:fldCharType="separate"/>
      </w:r>
      <w:r w:rsidR="00C13637">
        <w:t>F</w:t>
      </w:r>
      <w:r w:rsidR="00B83F23" w:rsidRPr="00127A82">
        <w:t>igure 4</w:t>
      </w:r>
      <w:r w:rsidR="00B83F23" w:rsidRPr="00127A82">
        <w:fldChar w:fldCharType="end"/>
      </w:r>
      <w:r w:rsidRPr="00643E01">
        <w:t>), this high ratio corresponded likely to the surviving bacteria that were selected on their ability to fix N</w:t>
      </w:r>
      <w:r w:rsidRPr="00643E01">
        <w:rPr>
          <w:vertAlign w:val="subscript"/>
        </w:rPr>
        <w:t>2</w:t>
      </w:r>
      <w:r w:rsidRPr="00643E01">
        <w:t>. The ratio measured in these H</w:t>
      </w:r>
      <w:r w:rsidRPr="00643E01">
        <w:rPr>
          <w:vertAlign w:val="subscript"/>
        </w:rPr>
        <w:t>2</w:t>
      </w:r>
      <w:r w:rsidRPr="00643E01">
        <w:t xml:space="preserve">E then decreased down to </w:t>
      </w:r>
      <w:r w:rsidR="00AD00F8" w:rsidRPr="00456C92">
        <w:rPr>
          <w:highlight w:val="yellow"/>
        </w:rPr>
        <w:t>0.19</w:t>
      </w:r>
      <w:r w:rsidRPr="00643E01">
        <w:t>, suggesting a decrease in N</w:t>
      </w:r>
      <w:r w:rsidRPr="00643E01">
        <w:rPr>
          <w:vertAlign w:val="subscript"/>
        </w:rPr>
        <w:t>2</w:t>
      </w:r>
      <w:r w:rsidRPr="00643E01">
        <w:t>-fixing bacteria</w:t>
      </w:r>
      <w:r w:rsidR="006538F1">
        <w:t xml:space="preserve"> in</w:t>
      </w:r>
      <w:r w:rsidRPr="00643E01">
        <w:t xml:space="preserve"> biomass. </w:t>
      </w:r>
    </w:p>
    <w:p w14:paraId="580366EE" w14:textId="77777777" w:rsidR="00643E01" w:rsidRDefault="00643E01" w:rsidP="00643E01">
      <w:pPr>
        <w:pStyle w:val="PCJtext"/>
      </w:pPr>
      <w:r w:rsidRPr="00643E01">
        <w:t>As previously mentioned, after 230 days, power failures occurred and interrupted the polarization of the electrodes. These interruptions impacted the microbial communities with a decrease in biomass concentration to 8.1±7.6 10</w:t>
      </w:r>
      <w:r w:rsidRPr="00643E01">
        <w:rPr>
          <w:vertAlign w:val="superscript"/>
        </w:rPr>
        <w:t>8</w:t>
      </w:r>
      <w:r w:rsidRPr="00643E01">
        <w:t xml:space="preserve"> bacteria/mL at 244 days and 5.5±6.0 10</w:t>
      </w:r>
      <w:r w:rsidRPr="00643E01">
        <w:rPr>
          <w:vertAlign w:val="superscript"/>
        </w:rPr>
        <w:t>8</w:t>
      </w:r>
      <w:r w:rsidRPr="00643E01">
        <w:t xml:space="preserve"> bacteria/mL after 340 days compared to the concentration of 3.3 10</w:t>
      </w:r>
      <w:r w:rsidRPr="00643E01">
        <w:rPr>
          <w:vertAlign w:val="superscript"/>
        </w:rPr>
        <w:t>9</w:t>
      </w:r>
      <w:r w:rsidRPr="00643E01">
        <w:t xml:space="preserve"> bacteria/mL measured at 214 days. At the same time, the </w:t>
      </w:r>
      <w:r w:rsidRPr="00643E01">
        <w:rPr>
          <w:i/>
        </w:rPr>
        <w:t>nifH</w:t>
      </w:r>
      <w:r w:rsidRPr="00643E01">
        <w:t>/16S rDNA ratio increased up to 5%, indicating that N</w:t>
      </w:r>
      <w:r w:rsidRPr="00643E01">
        <w:rPr>
          <w:vertAlign w:val="subscript"/>
        </w:rPr>
        <w:t>2</w:t>
      </w:r>
      <w:r w:rsidRPr="00643E01">
        <w:t xml:space="preserve">-fixing bacteria were more resistant. Nevertheless, a decrease was observed in </w:t>
      </w:r>
      <w:r w:rsidRPr="00643E01">
        <w:rPr>
          <w:i/>
        </w:rPr>
        <w:t>nifH</w:t>
      </w:r>
      <w:r w:rsidRPr="00643E01">
        <w:t xml:space="preserve"> quantities, from 2.3 10</w:t>
      </w:r>
      <w:r w:rsidRPr="00643E01">
        <w:rPr>
          <w:vertAlign w:val="superscript"/>
        </w:rPr>
        <w:t>8</w:t>
      </w:r>
      <w:r w:rsidRPr="00643E01">
        <w:t xml:space="preserve"> copies</w:t>
      </w:r>
      <w:r w:rsidRPr="00643E01">
        <w:rPr>
          <w:i/>
          <w:vertAlign w:val="subscript"/>
        </w:rPr>
        <w:t>nifH</w:t>
      </w:r>
      <w:r w:rsidRPr="00643E01">
        <w:t>/mL after 214 days to 7.8 10</w:t>
      </w:r>
      <w:r w:rsidRPr="00643E01">
        <w:rPr>
          <w:vertAlign w:val="superscript"/>
        </w:rPr>
        <w:t>7</w:t>
      </w:r>
      <w:r w:rsidRPr="00643E01">
        <w:t xml:space="preserve"> copies</w:t>
      </w:r>
      <w:r w:rsidRPr="00643E01">
        <w:rPr>
          <w:i/>
          <w:vertAlign w:val="subscript"/>
        </w:rPr>
        <w:t>nifH</w:t>
      </w:r>
      <w:r w:rsidRPr="00643E01">
        <w:t>/mL after 340 days.</w:t>
      </w:r>
    </w:p>
    <w:p w14:paraId="1590979F" w14:textId="77777777" w:rsidR="00643E01" w:rsidRPr="00643E01" w:rsidRDefault="00643E01" w:rsidP="00643E01">
      <w:pPr>
        <w:pStyle w:val="PCJtext"/>
      </w:pPr>
    </w:p>
    <w:p w14:paraId="67157C76" w14:textId="77777777" w:rsidR="00643E01" w:rsidRDefault="00643E01" w:rsidP="00643E01">
      <w:pPr>
        <w:pStyle w:val="PCJtext"/>
        <w:jc w:val="center"/>
      </w:pPr>
      <w:r>
        <w:rPr>
          <w:lang w:val="fr-FR"/>
        </w:rPr>
        <w:drawing>
          <wp:inline distT="0" distB="0" distL="0" distR="0" wp14:anchorId="2F77F0A7" wp14:editId="2758057F">
            <wp:extent cx="3728720" cy="2646680"/>
            <wp:effectExtent l="0" t="0" r="5080" b="127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rotWithShape="1">
                    <a:blip r:embed="rId11" cstate="print">
                      <a:extLst>
                        <a:ext uri="{28A0092B-C50C-407E-A947-70E740481C1C}">
                          <a14:useLocalDpi xmlns:a14="http://schemas.microsoft.com/office/drawing/2010/main" val="0"/>
                        </a:ext>
                      </a:extLst>
                    </a:blip>
                    <a:srcRect r="3226"/>
                    <a:stretch/>
                  </pic:blipFill>
                  <pic:spPr bwMode="auto">
                    <a:xfrm>
                      <a:off x="0" y="0"/>
                      <a:ext cx="3728720" cy="2646680"/>
                    </a:xfrm>
                    <a:prstGeom prst="rect">
                      <a:avLst/>
                    </a:prstGeom>
                    <a:ln>
                      <a:noFill/>
                    </a:ln>
                    <a:extLst>
                      <a:ext uri="{53640926-AAD7-44D8-BBD7-CCE9431645EC}">
                        <a14:shadowObscured xmlns:a14="http://schemas.microsoft.com/office/drawing/2010/main"/>
                      </a:ext>
                    </a:extLst>
                  </pic:spPr>
                </pic:pic>
              </a:graphicData>
            </a:graphic>
          </wp:inline>
        </w:drawing>
      </w:r>
    </w:p>
    <w:p w14:paraId="3E54A292" w14:textId="6E86E896" w:rsidR="00643E01" w:rsidRPr="00643E01" w:rsidRDefault="00643E01" w:rsidP="00C13637">
      <w:pPr>
        <w:pStyle w:val="PCJcaptionfigure"/>
      </w:pPr>
      <w:bookmarkStart w:id="11" w:name="_Ref121472517"/>
      <w:bookmarkStart w:id="12" w:name="_Ref121472384"/>
      <w:bookmarkStart w:id="13" w:name="_Toc122516449"/>
      <w:r w:rsidRPr="00643E01">
        <w:rPr>
          <w:b/>
        </w:rPr>
        <w:t xml:space="preserve">Figure </w:t>
      </w:r>
      <w:r w:rsidRPr="00643E01">
        <w:rPr>
          <w:b/>
        </w:rPr>
        <w:fldChar w:fldCharType="begin"/>
      </w:r>
      <w:r w:rsidRPr="00643E01">
        <w:rPr>
          <w:b/>
        </w:rPr>
        <w:instrText xml:space="preserve"> SEQ Figure \* ARABIC </w:instrText>
      </w:r>
      <w:r w:rsidRPr="00643E01">
        <w:rPr>
          <w:b/>
        </w:rPr>
        <w:fldChar w:fldCharType="separate"/>
      </w:r>
      <w:r w:rsidR="00D802AF">
        <w:rPr>
          <w:b/>
        </w:rPr>
        <w:t>4</w:t>
      </w:r>
      <w:r w:rsidRPr="00643E01">
        <w:fldChar w:fldCharType="end"/>
      </w:r>
      <w:bookmarkEnd w:id="11"/>
      <w:r w:rsidRPr="00643E01">
        <w:t xml:space="preserve"> - Bacteria concentrations over time in the different enrichments calculated from 16S rDNA qPCR quantifications in bulk and biofilm. Green disks correspond to H</w:t>
      </w:r>
      <w:r w:rsidRPr="00643E01">
        <w:rPr>
          <w:vertAlign w:val="subscript"/>
        </w:rPr>
        <w:t>2</w:t>
      </w:r>
      <w:r w:rsidRPr="00643E01">
        <w:t xml:space="preserve"> enrichments in bottles, blue triangles correspond to polarized cathode enrichment (PCE), red squares correspond to controls in non-polarized cathode enrichment (nPCE). The partially purple symbols marked Org correspond to the first phases of enrichment with organic C for the PCE and nPCE. The arrow indicates the transition from bottle enrichments to cathode enrichments in microbial electrochemical systems for PCE and nPCE. Error bars correspond to the calculated standard deviation.</w:t>
      </w:r>
      <w:bookmarkEnd w:id="12"/>
      <w:bookmarkEnd w:id="13"/>
    </w:p>
    <w:p w14:paraId="4FED7D80" w14:textId="77777777" w:rsidR="00643E01" w:rsidRPr="00643E01" w:rsidRDefault="00643E01" w:rsidP="00643E01">
      <w:pPr>
        <w:pStyle w:val="PCJSubsection"/>
      </w:pPr>
      <w:r w:rsidRPr="00643E01">
        <w:t>N quantification and coulombic efficiency</w:t>
      </w:r>
    </w:p>
    <w:p w14:paraId="64F475C2" w14:textId="3CB4D94C" w:rsidR="00643E01" w:rsidRDefault="00643E01" w:rsidP="00643E01">
      <w:pPr>
        <w:pStyle w:val="PCJtext"/>
      </w:pPr>
      <w:r w:rsidRPr="00643E01">
        <w:t xml:space="preserve">Total N contents of the different experiments are shown in </w:t>
      </w:r>
      <w:r w:rsidR="00B83F23" w:rsidRPr="00127A82">
        <w:fldChar w:fldCharType="begin"/>
      </w:r>
      <w:r w:rsidR="00B83F23" w:rsidRPr="00127A82">
        <w:instrText xml:space="preserve"> REF _Ref122447245 \h </w:instrText>
      </w:r>
      <w:r w:rsidR="007C15C3" w:rsidRPr="00127A82">
        <w:instrText xml:space="preserve"> \* MERGEFORMAT </w:instrText>
      </w:r>
      <w:r w:rsidR="00B83F23" w:rsidRPr="00127A82">
        <w:fldChar w:fldCharType="separate"/>
      </w:r>
      <w:r w:rsidR="00C13637">
        <w:t>F</w:t>
      </w:r>
      <w:r w:rsidR="00B83F23" w:rsidRPr="00127A82">
        <w:t>igure 5</w:t>
      </w:r>
      <w:r w:rsidR="00B83F23" w:rsidRPr="00127A82">
        <w:fldChar w:fldCharType="end"/>
      </w:r>
      <w:r w:rsidRPr="00643E01">
        <w:t>a. The total N corresponded to the sum of the nitrogen measured in the liquid phase by N-ion concentration analysis (N-NH</w:t>
      </w:r>
      <w:r w:rsidRPr="00643E01">
        <w:rPr>
          <w:vertAlign w:val="subscript"/>
        </w:rPr>
        <w:t>4</w:t>
      </w:r>
      <w:r w:rsidRPr="00643E01">
        <w:rPr>
          <w:vertAlign w:val="superscript"/>
        </w:rPr>
        <w:t>+</w:t>
      </w:r>
      <w:r w:rsidRPr="00643E01">
        <w:t>, N-NO</w:t>
      </w:r>
      <w:r w:rsidRPr="00643E01">
        <w:rPr>
          <w:vertAlign w:val="subscript"/>
        </w:rPr>
        <w:t>3</w:t>
      </w:r>
      <w:r w:rsidRPr="00643E01">
        <w:rPr>
          <w:vertAlign w:val="superscript"/>
        </w:rPr>
        <w:t>-</w:t>
      </w:r>
      <w:r w:rsidRPr="00643E01">
        <w:t>, N-NO</w:t>
      </w:r>
      <w:r w:rsidRPr="00643E01">
        <w:rPr>
          <w:vertAlign w:val="subscript"/>
        </w:rPr>
        <w:t>2</w:t>
      </w:r>
      <w:r w:rsidRPr="00643E01">
        <w:rPr>
          <w:vertAlign w:val="superscript"/>
        </w:rPr>
        <w:t>-</w:t>
      </w:r>
      <w:r w:rsidRPr="00643E01">
        <w:t>), in the medium by CHNS elemental analysis for PCE and nPCE, in the suspended biomass from qPCR results only for H</w:t>
      </w:r>
      <w:r w:rsidRPr="00643E01">
        <w:rPr>
          <w:vertAlign w:val="subscript"/>
        </w:rPr>
        <w:t>2</w:t>
      </w:r>
      <w:r w:rsidRPr="00643E01">
        <w:t>E where the dry mass was not measured, and on the electrode based on the bacterial concentrations. The total N concentration was estimated after 131 days of enrichment (ie. before the shift to CO</w:t>
      </w:r>
      <w:r w:rsidRPr="00643E01">
        <w:rPr>
          <w:vertAlign w:val="subscript"/>
        </w:rPr>
        <w:t>2</w:t>
      </w:r>
      <w:r w:rsidRPr="00643E01">
        <w:t xml:space="preserve"> as sole C source) at 25.5±0.4 mg</w:t>
      </w:r>
      <w:r w:rsidRPr="00643E01">
        <w:rPr>
          <w:vertAlign w:val="subscript"/>
        </w:rPr>
        <w:t>N</w:t>
      </w:r>
      <w:r w:rsidRPr="00643E01">
        <w:t>/L and 25.8±4.7 mg</w:t>
      </w:r>
      <w:r w:rsidRPr="00643E01">
        <w:rPr>
          <w:vertAlign w:val="subscript"/>
        </w:rPr>
        <w:t>N</w:t>
      </w:r>
      <w:r w:rsidRPr="00643E01">
        <w:t>/L in the PCE and in the nPCE controls, respectively. After 214 days of enrichment, total N increased up to 87.6±56.1 mg</w:t>
      </w:r>
      <w:r w:rsidRPr="00643E01">
        <w:rPr>
          <w:vertAlign w:val="subscript"/>
        </w:rPr>
        <w:t>N</w:t>
      </w:r>
      <w:r w:rsidRPr="00643E01">
        <w:t>/L in the PCE with regards to the low value of 14.8±7.0 mg</w:t>
      </w:r>
      <w:r w:rsidRPr="00643E01">
        <w:rPr>
          <w:vertAlign w:val="subscript"/>
        </w:rPr>
        <w:t>N</w:t>
      </w:r>
      <w:r w:rsidRPr="00643E01">
        <w:t>/L in the nPCE controls. Ammonium represented only a small fraction of the total N in the PCE. The maximum ammonium concentration observed at a batch end in the PCE was 1.5±0.3 mg</w:t>
      </w:r>
      <w:r w:rsidRPr="00643E01">
        <w:rPr>
          <w:vertAlign w:val="subscript"/>
        </w:rPr>
        <w:t>N</w:t>
      </w:r>
      <w:r w:rsidRPr="00643E01">
        <w:t>/L at the day 340 of the enrichment in comparison with the maximum value of 4.5±0.4 mg</w:t>
      </w:r>
      <w:r w:rsidRPr="00643E01">
        <w:rPr>
          <w:vertAlign w:val="subscript"/>
        </w:rPr>
        <w:t>N</w:t>
      </w:r>
      <w:r w:rsidRPr="00643E01">
        <w:t>/L found in nPCE control after 131 days (1.4 mg</w:t>
      </w:r>
      <w:r w:rsidRPr="00643E01">
        <w:rPr>
          <w:vertAlign w:val="subscript"/>
        </w:rPr>
        <w:t>N</w:t>
      </w:r>
      <w:r w:rsidRPr="00643E01">
        <w:t>/L at the day 340)(</w:t>
      </w:r>
      <w:r w:rsidR="00B83F23" w:rsidRPr="00127A82">
        <w:fldChar w:fldCharType="begin"/>
      </w:r>
      <w:r w:rsidR="00B83F23" w:rsidRPr="00127A82">
        <w:instrText xml:space="preserve"> REF _Ref122447245 \h </w:instrText>
      </w:r>
      <w:r w:rsidR="007C15C3" w:rsidRPr="00127A82">
        <w:instrText xml:space="preserve"> \* MERGEFORMAT </w:instrText>
      </w:r>
      <w:r w:rsidR="00B83F23" w:rsidRPr="00127A82">
        <w:fldChar w:fldCharType="separate"/>
      </w:r>
      <w:r w:rsidR="00C13637">
        <w:t>F</w:t>
      </w:r>
      <w:r w:rsidR="00B83F23" w:rsidRPr="00127A82">
        <w:t>igure 5</w:t>
      </w:r>
      <w:r w:rsidR="00B83F23" w:rsidRPr="00127A82">
        <w:fldChar w:fldCharType="end"/>
      </w:r>
      <w:r w:rsidRPr="00643E01">
        <w:t xml:space="preserve">b). The average N fraction in the </w:t>
      </w:r>
      <w:r w:rsidRPr="00643E01">
        <w:lastRenderedPageBreak/>
        <w:t xml:space="preserve">form of ammonium was therefore of 12% in nPCE and only 1.6% in PCE. It was thus assumed that the higher level of ammonium in nPCE was related to the decay of biomass in absence of </w:t>
      </w:r>
      <w:r w:rsidRPr="00C13637">
        <w:rPr>
          <w:highlight w:val="yellow"/>
        </w:rPr>
        <w:t>e</w:t>
      </w:r>
      <w:r w:rsidR="00A573BE" w:rsidRPr="00C13637">
        <w:rPr>
          <w:highlight w:val="yellow"/>
        </w:rPr>
        <w:t>lectron</w:t>
      </w:r>
      <w:r w:rsidRPr="00643E01">
        <w:t xml:space="preserve"> sources. In counterpart, the ammonium produced by N</w:t>
      </w:r>
      <w:r w:rsidRPr="00643E01">
        <w:rPr>
          <w:vertAlign w:val="subscript"/>
        </w:rPr>
        <w:t>2</w:t>
      </w:r>
      <w:r w:rsidRPr="00643E01">
        <w:t xml:space="preserve"> fixation in the PCE was likely directly used for protein synthesis as suggested elsewhere </w:t>
      </w:r>
      <w:r w:rsidRPr="00643E01">
        <w:fldChar w:fldCharType="begin"/>
      </w:r>
      <w:r w:rsidR="006538F1">
        <w:instrText xml:space="preserve"> ADDIN ZOTERO_ITEM CSL_CITATION {"citationID":"y6pHO31D","properties":{"formattedCitation":"(Bueno Batista &amp; Dixon, 2019; Temple et al., 1998)","plainCitation":"(Bueno Batista &amp; Dixon, 2019; Temple et al., 1998)","noteIndex":0},"citationItems":[{"id":926,"uris":["http://zotero.org/users/local/ahqjqVuV/items/F2HWKETM"],"itemData":{"id":926,"type":"article-journal","abstract":"Biological nitrogen fixation (BNF) is controlled by intricate regulatory mechanisms to ensure that fixed nitrogen is readily assimilated into biomass and not released to the environment. Understanding the complex regulatory circuits that couple nitrogen fixation to ammonium assimilation is a prerequisite for engineering diazotrophic strains that can potentially supply fixed nitrogen to non-legume crops. In this review, we explore how the current knowledge of nitrogen metabolism and BNF regulation may allow strategies for genetic manipulation of diazotrophs for ammonia excretion and provide a contribution towards solving the nitrogen crisis.","container-title":"Biochemical Society Transactions","DOI":"10.1042/BST20180342","ISSN":"0300-5127","issue":"2","journalAbbreviation":"Biochemical Society Transactions","page":"603-614","source":"Silverchair","title":"Manipulating nitrogen regulation in diazotrophic bacteria for agronomic benefit","volume":"47","author":[{"family":"Bueno Batista","given":"Marcelo"},{"family":"Dixon","given":"Ray"}],"issued":{"date-parts":[["2019",4,1]]}}},{"id":782,"uris":["http://zotero.org/users/local/ahqjqVuV/items/FRGF2GWT"],"itemData":{"id":782,"type":"article-journal","abstract":"The assimilation of ammonia by a wide variety of organisms is the primary route for the introduction of nitrogen into the biosphere. The assimilatory enzymes glutamine synthetase and glutamate synthase catalyze reactions that convert α-ketoglutarate and ammonia to glutamate, which is then used in a wide variety of biosynthetic reactions. These enzymes also play a major role in the reassimilation of ammonia derived from photorespiration in C3 plants. Recent biochemical, molecular and genetic studies are leading to a better understanding of the factors that determine the activity and function of glutamate synthase.","container-title":"Trends in Plant Science","DOI":"10.1016/S1360-1385(97)01159-X","ISSN":"1360-1385","issue":"2","journalAbbreviation":"Trends in Plant Science","language":"en","page":"51-56","source":"ScienceDirect","title":"Glutamate synthase and nitrogen assimilation","volume":"3","author":[{"family":"Temple","given":"Stephen J."},{"family":"Vance","given":"Carroll P."},{"family":"Stephen Gantt","given":"J."}],"issued":{"date-parts":[["1998",2,1]]}}}],"schema":"https://github.com/citation-style-language/schema/raw/master/csl-citation.json"} </w:instrText>
      </w:r>
      <w:r w:rsidRPr="00643E01">
        <w:fldChar w:fldCharType="separate"/>
      </w:r>
      <w:r w:rsidR="006538F1" w:rsidRPr="006538F1">
        <w:rPr>
          <w:rFonts w:ascii="Calibri" w:hAnsi="Calibri" w:cs="Calibri"/>
        </w:rPr>
        <w:t>(Bueno Batista &amp; Dixon, 2019; Temple et al., 1998)</w:t>
      </w:r>
      <w:r w:rsidRPr="00643E01">
        <w:fldChar w:fldCharType="end"/>
      </w:r>
      <w:r w:rsidRPr="00643E01">
        <w:t>. In addition, nPCE N-NO</w:t>
      </w:r>
      <w:r w:rsidRPr="00643E01">
        <w:rPr>
          <w:vertAlign w:val="subscript"/>
        </w:rPr>
        <w:t>3</w:t>
      </w:r>
      <w:r w:rsidRPr="00643E01">
        <w:rPr>
          <w:vertAlign w:val="superscript"/>
        </w:rPr>
        <w:t>-</w:t>
      </w:r>
      <w:r w:rsidRPr="00643E01">
        <w:t xml:space="preserve"> concentrations were 5 to 15 times lower than N-NH</w:t>
      </w:r>
      <w:r w:rsidRPr="00643E01">
        <w:rPr>
          <w:vertAlign w:val="subscript"/>
        </w:rPr>
        <w:t>4</w:t>
      </w:r>
      <w:r w:rsidRPr="00643E01">
        <w:rPr>
          <w:vertAlign w:val="superscript"/>
        </w:rPr>
        <w:t>+</w:t>
      </w:r>
      <w:r w:rsidRPr="00643E01">
        <w:t xml:space="preserve"> concentrations with maximum values of 0.9 mg</w:t>
      </w:r>
      <w:r w:rsidRPr="00643E01">
        <w:rPr>
          <w:vertAlign w:val="subscript"/>
        </w:rPr>
        <w:t>N</w:t>
      </w:r>
      <w:r w:rsidRPr="00643E01">
        <w:t>/L N-NO</w:t>
      </w:r>
      <w:r w:rsidRPr="00643E01">
        <w:rPr>
          <w:vertAlign w:val="subscript"/>
        </w:rPr>
        <w:t>3</w:t>
      </w:r>
      <w:r w:rsidRPr="00643E01">
        <w:rPr>
          <w:vertAlign w:val="superscript"/>
        </w:rPr>
        <w:t>-</w:t>
      </w:r>
      <w:r w:rsidRPr="00643E01">
        <w:t xml:space="preserve"> in the nPCE control and 0.2 mg</w:t>
      </w:r>
      <w:r w:rsidRPr="00643E01">
        <w:rPr>
          <w:vertAlign w:val="subscript"/>
        </w:rPr>
        <w:t>N</w:t>
      </w:r>
      <w:r w:rsidRPr="00643E01">
        <w:t>/L N-NO</w:t>
      </w:r>
      <w:r w:rsidRPr="00643E01">
        <w:rPr>
          <w:vertAlign w:val="subscript"/>
        </w:rPr>
        <w:t>3</w:t>
      </w:r>
      <w:r w:rsidRPr="00643E01">
        <w:rPr>
          <w:vertAlign w:val="superscript"/>
        </w:rPr>
        <w:t>-</w:t>
      </w:r>
      <w:r w:rsidRPr="00643E01">
        <w:t xml:space="preserve"> in PCE. An average concentration of 0.1±0.2 mg</w:t>
      </w:r>
      <w:r w:rsidRPr="00643E01">
        <w:rPr>
          <w:vertAlign w:val="subscript"/>
        </w:rPr>
        <w:t>N</w:t>
      </w:r>
      <w:r w:rsidRPr="00643E01">
        <w:t>/L N-NO</w:t>
      </w:r>
      <w:r w:rsidRPr="00643E01">
        <w:rPr>
          <w:vertAlign w:val="subscript"/>
        </w:rPr>
        <w:t>3</w:t>
      </w:r>
      <w:r w:rsidRPr="00643E01">
        <w:rPr>
          <w:vertAlign w:val="superscript"/>
        </w:rPr>
        <w:t>-</w:t>
      </w:r>
      <w:r w:rsidRPr="00643E01">
        <w:t xml:space="preserve"> in H</w:t>
      </w:r>
      <w:r w:rsidRPr="00643E01">
        <w:rPr>
          <w:vertAlign w:val="subscript"/>
        </w:rPr>
        <w:t>2</w:t>
      </w:r>
      <w:r w:rsidRPr="00643E01">
        <w:t>E bottles was also observed. NO</w:t>
      </w:r>
      <w:r w:rsidRPr="00643E01">
        <w:rPr>
          <w:vertAlign w:val="subscript"/>
        </w:rPr>
        <w:t>2</w:t>
      </w:r>
      <w:r w:rsidRPr="00643E01">
        <w:rPr>
          <w:vertAlign w:val="superscript"/>
        </w:rPr>
        <w:t>-</w:t>
      </w:r>
      <w:r w:rsidRPr="00643E01">
        <w:t xml:space="preserve"> concentrations were negligible.</w:t>
      </w:r>
    </w:p>
    <w:p w14:paraId="776E6D7A" w14:textId="1F254EDC" w:rsidR="0014776F" w:rsidRPr="00C13637" w:rsidRDefault="00EB659D" w:rsidP="00C13637">
      <w:pPr>
        <w:pStyle w:val="PCJtext"/>
      </w:pPr>
      <w:r w:rsidRPr="00C13637">
        <w:rPr>
          <w:highlight w:val="yellow"/>
        </w:rPr>
        <w:t xml:space="preserve">Using our method of N mass estimation on biomass lost as presented in </w:t>
      </w:r>
      <w:r w:rsidR="00C13637" w:rsidRPr="00FF622B">
        <w:rPr>
          <w:highlight w:val="yellow"/>
        </w:rPr>
        <w:fldChar w:fldCharType="begin"/>
      </w:r>
      <w:r w:rsidR="00C13637" w:rsidRPr="00C13637">
        <w:rPr>
          <w:highlight w:val="yellow"/>
        </w:rPr>
        <w:instrText xml:space="preserve"> REF _Ref121472517 \h  \* MERGEFORMAT </w:instrText>
      </w:r>
      <w:r w:rsidR="00C13637" w:rsidRPr="00FF622B">
        <w:rPr>
          <w:highlight w:val="yellow"/>
        </w:rPr>
      </w:r>
      <w:r w:rsidR="00C13637" w:rsidRPr="00FF622B">
        <w:rPr>
          <w:highlight w:val="yellow"/>
        </w:rPr>
        <w:fldChar w:fldCharType="separate"/>
      </w:r>
      <w:r w:rsidR="00C13637" w:rsidRPr="00FF622B">
        <w:rPr>
          <w:highlight w:val="yellow"/>
        </w:rPr>
        <w:t>Figure 4</w:t>
      </w:r>
      <w:r w:rsidR="00C13637" w:rsidRPr="00FF622B">
        <w:rPr>
          <w:highlight w:val="yellow"/>
        </w:rPr>
        <w:fldChar w:fldCharType="end"/>
      </w:r>
      <w:r w:rsidR="00C13637">
        <w:rPr>
          <w:highlight w:val="yellow"/>
        </w:rPr>
        <w:t xml:space="preserve"> </w:t>
      </w:r>
      <w:r w:rsidRPr="00C13637">
        <w:rPr>
          <w:highlight w:val="yellow"/>
        </w:rPr>
        <w:t xml:space="preserve">for nPCE, the total concentration of N lost by biomass would be estimated around 130 to 200 mgN/L depending on the community (2 nPCE). This loss would then be equivalent to rates of 0.6 to 0.9 mgN/L.d released by this the biomass on average along the enrichment. Assuming a loss of a constant portion of biomass, a release rate of 0.1 mgN/L.d was estimated as average for the batch ending at 340 days, close to the 0.07 mg/L.d presented in </w:t>
      </w:r>
      <w:r w:rsidRPr="00C13637">
        <w:rPr>
          <w:highlight w:val="yellow"/>
        </w:rPr>
        <w:fldChar w:fldCharType="begin"/>
      </w:r>
      <w:r w:rsidRPr="00C13637">
        <w:rPr>
          <w:highlight w:val="yellow"/>
        </w:rPr>
        <w:instrText xml:space="preserve"> REF _Ref129081459 \h  \* MERGEFORMAT </w:instrText>
      </w:r>
      <w:r w:rsidRPr="00C13637">
        <w:rPr>
          <w:highlight w:val="yellow"/>
        </w:rPr>
      </w:r>
      <w:r w:rsidRPr="00C13637">
        <w:rPr>
          <w:highlight w:val="yellow"/>
        </w:rPr>
        <w:fldChar w:fldCharType="separate"/>
      </w:r>
      <w:r>
        <w:rPr>
          <w:highlight w:val="yellow"/>
        </w:rPr>
        <w:t>T</w:t>
      </w:r>
      <w:r w:rsidRPr="00C13637">
        <w:rPr>
          <w:highlight w:val="yellow"/>
        </w:rPr>
        <w:t>able 2</w:t>
      </w:r>
      <w:r w:rsidRPr="00C13637">
        <w:rPr>
          <w:highlight w:val="yellow"/>
        </w:rPr>
        <w:fldChar w:fldCharType="end"/>
      </w:r>
      <w:r w:rsidRPr="00C13637">
        <w:rPr>
          <w:highlight w:val="yellow"/>
        </w:rPr>
        <w:t>. This result supported our hypothesis that NH</w:t>
      </w:r>
      <w:r w:rsidRPr="00C13637">
        <w:rPr>
          <w:highlight w:val="yellow"/>
          <w:vertAlign w:val="subscript"/>
        </w:rPr>
        <w:t>4</w:t>
      </w:r>
      <w:r w:rsidRPr="00C13637">
        <w:rPr>
          <w:highlight w:val="yellow"/>
          <w:vertAlign w:val="superscript"/>
        </w:rPr>
        <w:t>+</w:t>
      </w:r>
      <w:r w:rsidRPr="00C13637">
        <w:rPr>
          <w:highlight w:val="yellow"/>
        </w:rPr>
        <w:t xml:space="preserve"> release was linked to biomass loss in nPCE enrichments after organic C addition was stopped.</w:t>
      </w:r>
    </w:p>
    <w:p w14:paraId="3E922CBB" w14:textId="754F11F4" w:rsidR="00643E01" w:rsidRDefault="00643E01" w:rsidP="00643E01">
      <w:pPr>
        <w:pStyle w:val="PCJtext"/>
      </w:pPr>
      <w:r w:rsidRPr="00643E01">
        <w:t>The H</w:t>
      </w:r>
      <w:r w:rsidRPr="00643E01">
        <w:rPr>
          <w:vertAlign w:val="subscript"/>
        </w:rPr>
        <w:t>2</w:t>
      </w:r>
      <w:r w:rsidRPr="00643E01">
        <w:t xml:space="preserve"> enrichment bottles (H</w:t>
      </w:r>
      <w:r w:rsidRPr="00643E01">
        <w:rPr>
          <w:vertAlign w:val="subscript"/>
        </w:rPr>
        <w:t>2</w:t>
      </w:r>
      <w:r w:rsidRPr="00643E01">
        <w:t>E) showed an average N-NH</w:t>
      </w:r>
      <w:r w:rsidRPr="00643E01">
        <w:rPr>
          <w:vertAlign w:val="subscript"/>
        </w:rPr>
        <w:t>4</w:t>
      </w:r>
      <w:r w:rsidRPr="00643E01">
        <w:rPr>
          <w:vertAlign w:val="superscript"/>
        </w:rPr>
        <w:t>+</w:t>
      </w:r>
      <w:r w:rsidRPr="00643E01">
        <w:t xml:space="preserve"> accumulation of 35.6±36 µg</w:t>
      </w:r>
      <w:r w:rsidRPr="00643E01">
        <w:rPr>
          <w:vertAlign w:val="subscript"/>
        </w:rPr>
        <w:t>N</w:t>
      </w:r>
      <w:r w:rsidRPr="00643E01">
        <w:t>/L after 131 days and an average of 0.1±0.2 mg</w:t>
      </w:r>
      <w:r w:rsidRPr="00643E01">
        <w:rPr>
          <w:vertAlign w:val="subscript"/>
        </w:rPr>
        <w:t>N</w:t>
      </w:r>
      <w:r w:rsidRPr="00643E01">
        <w:t>/L over the duration of enrichment. This concentration represented a small fraction of the total N at the very beginning of the enrichment, with an estimated concentration of 29.4±28 mg</w:t>
      </w:r>
      <w:r w:rsidRPr="00643E01">
        <w:rPr>
          <w:vertAlign w:val="subscript"/>
        </w:rPr>
        <w:t>N</w:t>
      </w:r>
      <w:r w:rsidRPr="00643E01">
        <w:t xml:space="preserve">/L. The N concentration decreased during the enrichment, which is consistent with the biomass loss as shown in </w:t>
      </w:r>
      <w:r w:rsidR="00B83F23" w:rsidRPr="00127A82">
        <w:fldChar w:fldCharType="begin"/>
      </w:r>
      <w:r w:rsidR="00B83F23" w:rsidRPr="00127A82">
        <w:instrText xml:space="preserve"> REF _Ref121472517 \h </w:instrText>
      </w:r>
      <w:r w:rsidR="007C15C3" w:rsidRPr="007C15C3">
        <w:instrText xml:space="preserve"> \* MERGEFORMAT </w:instrText>
      </w:r>
      <w:r w:rsidR="00B83F23" w:rsidRPr="00127A82">
        <w:fldChar w:fldCharType="separate"/>
      </w:r>
      <w:r w:rsidR="00C13637">
        <w:t>F</w:t>
      </w:r>
      <w:r w:rsidR="007C15C3" w:rsidRPr="00127A82">
        <w:t>igure 4</w:t>
      </w:r>
      <w:r w:rsidR="00B83F23" w:rsidRPr="00127A82">
        <w:fldChar w:fldCharType="end"/>
      </w:r>
      <w:r w:rsidRPr="00643E01">
        <w:t>. H</w:t>
      </w:r>
      <w:r w:rsidRPr="00643E01">
        <w:rPr>
          <w:vertAlign w:val="subscript"/>
        </w:rPr>
        <w:t>2</w:t>
      </w:r>
      <w:r w:rsidRPr="00643E01">
        <w:t>E were therefore less efficient for N</w:t>
      </w:r>
      <w:r w:rsidRPr="00643E01">
        <w:rPr>
          <w:vertAlign w:val="subscript"/>
        </w:rPr>
        <w:t>2</w:t>
      </w:r>
      <w:r w:rsidRPr="00643E01">
        <w:t xml:space="preserve"> accumulation than polarized cathode enrichment, with a lower microbial biomass production.</w:t>
      </w:r>
    </w:p>
    <w:p w14:paraId="08CAE644" w14:textId="77777777" w:rsidR="00643E01" w:rsidRPr="00643E01" w:rsidRDefault="00643E01" w:rsidP="00643E01">
      <w:pPr>
        <w:pStyle w:val="PCJtext"/>
      </w:pPr>
    </w:p>
    <w:p w14:paraId="6AF07A7E" w14:textId="77777777" w:rsidR="00643E01" w:rsidRDefault="00643E01" w:rsidP="00643E01">
      <w:pPr>
        <w:pStyle w:val="PCJtext"/>
        <w:jc w:val="center"/>
      </w:pPr>
      <w:r>
        <w:rPr>
          <w:lang w:val="fr-FR"/>
        </w:rPr>
        <w:drawing>
          <wp:inline distT="0" distB="0" distL="0" distR="0" wp14:anchorId="76D78FE8" wp14:editId="3DAA64DD">
            <wp:extent cx="5285549" cy="2463065"/>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92151" cy="2466142"/>
                    </a:xfrm>
                    <a:prstGeom prst="rect">
                      <a:avLst/>
                    </a:prstGeom>
                    <a:ln>
                      <a:noFill/>
                    </a:ln>
                    <a:extLst>
                      <a:ext uri="{53640926-AAD7-44D8-BBD7-CCE9431645EC}">
                        <a14:shadowObscured xmlns:a14="http://schemas.microsoft.com/office/drawing/2010/main"/>
                      </a:ext>
                    </a:extLst>
                  </pic:spPr>
                </pic:pic>
              </a:graphicData>
            </a:graphic>
          </wp:inline>
        </w:drawing>
      </w:r>
    </w:p>
    <w:p w14:paraId="26983208" w14:textId="444EF7E3" w:rsidR="00643E01" w:rsidRPr="00643E01" w:rsidRDefault="00643E01" w:rsidP="00C13637">
      <w:pPr>
        <w:pStyle w:val="PCJcaptionfigure"/>
      </w:pPr>
      <w:bookmarkStart w:id="14" w:name="_Ref122447245"/>
      <w:bookmarkStart w:id="15" w:name="_Toc122516450"/>
      <w:r w:rsidRPr="00C13637">
        <w:rPr>
          <w:b/>
          <w:highlight w:val="yellow"/>
        </w:rPr>
        <w:t xml:space="preserve">Figure </w:t>
      </w:r>
      <w:r w:rsidRPr="00C13637">
        <w:rPr>
          <w:b/>
          <w:highlight w:val="yellow"/>
        </w:rPr>
        <w:fldChar w:fldCharType="begin"/>
      </w:r>
      <w:r w:rsidRPr="00C13637">
        <w:rPr>
          <w:b/>
          <w:highlight w:val="yellow"/>
        </w:rPr>
        <w:instrText xml:space="preserve"> SEQ Figure \* ARABIC </w:instrText>
      </w:r>
      <w:r w:rsidRPr="00C13637">
        <w:rPr>
          <w:b/>
          <w:highlight w:val="yellow"/>
        </w:rPr>
        <w:fldChar w:fldCharType="separate"/>
      </w:r>
      <w:r w:rsidR="00D802AF" w:rsidRPr="00C13637">
        <w:rPr>
          <w:b/>
          <w:highlight w:val="yellow"/>
        </w:rPr>
        <w:t>5</w:t>
      </w:r>
      <w:r w:rsidRPr="00C13637">
        <w:rPr>
          <w:highlight w:val="yellow"/>
        </w:rPr>
        <w:fldChar w:fldCharType="end"/>
      </w:r>
      <w:bookmarkEnd w:id="14"/>
      <w:r w:rsidRPr="00C13637">
        <w:rPr>
          <w:highlight w:val="yellow"/>
        </w:rPr>
        <w:t xml:space="preserve"> - (a) Total </w:t>
      </w:r>
      <w:r w:rsidRPr="005F7339">
        <w:rPr>
          <w:highlight w:val="yellow"/>
        </w:rPr>
        <w:t>N concentration based on</w:t>
      </w:r>
      <w:r w:rsidR="00AC1E26" w:rsidRPr="005F7339">
        <w:rPr>
          <w:highlight w:val="yellow"/>
        </w:rPr>
        <w:t xml:space="preserve"> the sum of</w:t>
      </w:r>
      <w:r w:rsidRPr="005F7339">
        <w:rPr>
          <w:highlight w:val="yellow"/>
        </w:rPr>
        <w:t xml:space="preserve"> </w:t>
      </w:r>
      <w:r w:rsidR="005F7339" w:rsidRPr="005F7339">
        <w:rPr>
          <w:highlight w:val="yellow"/>
        </w:rPr>
        <w:t xml:space="preserve">(1) </w:t>
      </w:r>
      <w:r w:rsidR="00AC1E26" w:rsidRPr="005F7339">
        <w:rPr>
          <w:highlight w:val="yellow"/>
        </w:rPr>
        <w:t>N estimated from biomass measurement (suspended biomass and biofilm)</w:t>
      </w:r>
      <w:r w:rsidR="005F7339" w:rsidRPr="005F7339">
        <w:rPr>
          <w:highlight w:val="yellow"/>
        </w:rPr>
        <w:t xml:space="preserve">, (2) </w:t>
      </w:r>
      <w:r w:rsidR="00AC1E26" w:rsidRPr="005F7339">
        <w:rPr>
          <w:highlight w:val="yellow"/>
        </w:rPr>
        <w:t xml:space="preserve">N </w:t>
      </w:r>
      <w:r w:rsidR="005F7339" w:rsidRPr="005F7339">
        <w:rPr>
          <w:highlight w:val="yellow"/>
        </w:rPr>
        <w:t xml:space="preserve">content </w:t>
      </w:r>
      <w:r w:rsidR="00AC1E26" w:rsidRPr="005F7339">
        <w:rPr>
          <w:highlight w:val="yellow"/>
        </w:rPr>
        <w:t>in ionic forms</w:t>
      </w:r>
      <w:r w:rsidR="005F7339" w:rsidRPr="005F7339">
        <w:rPr>
          <w:highlight w:val="yellow"/>
        </w:rPr>
        <w:t xml:space="preserve"> </w:t>
      </w:r>
      <w:r w:rsidR="00AC1E26" w:rsidRPr="005F7339">
        <w:rPr>
          <w:highlight w:val="yellow"/>
        </w:rPr>
        <w:t>(N-NH</w:t>
      </w:r>
      <w:r w:rsidR="00AC1E26" w:rsidRPr="005F7339">
        <w:rPr>
          <w:highlight w:val="yellow"/>
          <w:vertAlign w:val="subscript"/>
        </w:rPr>
        <w:t>4</w:t>
      </w:r>
      <w:r w:rsidR="00AC1E26" w:rsidRPr="005F7339">
        <w:rPr>
          <w:highlight w:val="yellow"/>
          <w:vertAlign w:val="superscript"/>
        </w:rPr>
        <w:t>+</w:t>
      </w:r>
      <w:r w:rsidR="00AC1E26" w:rsidRPr="005F7339">
        <w:rPr>
          <w:highlight w:val="yellow"/>
        </w:rPr>
        <w:t>, N-NO</w:t>
      </w:r>
      <w:r w:rsidR="00AC1E26" w:rsidRPr="005F7339">
        <w:rPr>
          <w:highlight w:val="yellow"/>
          <w:vertAlign w:val="subscript"/>
        </w:rPr>
        <w:t>3</w:t>
      </w:r>
      <w:r w:rsidR="00AC1E26" w:rsidRPr="005F7339">
        <w:rPr>
          <w:highlight w:val="yellow"/>
        </w:rPr>
        <w:t>, N-NO</w:t>
      </w:r>
      <w:r w:rsidR="00AC1E26" w:rsidRPr="005F7339">
        <w:rPr>
          <w:highlight w:val="yellow"/>
          <w:vertAlign w:val="subscript"/>
        </w:rPr>
        <w:t>2</w:t>
      </w:r>
      <w:r w:rsidR="00AC1E26" w:rsidRPr="005F7339">
        <w:rPr>
          <w:highlight w:val="yellow"/>
        </w:rPr>
        <w:t>)</w:t>
      </w:r>
      <w:r w:rsidR="005F7339" w:rsidRPr="005F7339">
        <w:rPr>
          <w:highlight w:val="yellow"/>
        </w:rPr>
        <w:t xml:space="preserve"> and (3)</w:t>
      </w:r>
      <w:r w:rsidR="00AC1E26" w:rsidRPr="005F7339">
        <w:rPr>
          <w:highlight w:val="yellow"/>
        </w:rPr>
        <w:t xml:space="preserve"> </w:t>
      </w:r>
      <w:r w:rsidR="005F7339" w:rsidRPr="005F7339">
        <w:rPr>
          <w:highlight w:val="yellow"/>
        </w:rPr>
        <w:t xml:space="preserve">N measured in the dry weight of </w:t>
      </w:r>
      <w:r w:rsidR="00AC1E26" w:rsidRPr="005F7339">
        <w:rPr>
          <w:highlight w:val="yellow"/>
        </w:rPr>
        <w:t xml:space="preserve">the medium </w:t>
      </w:r>
      <w:r w:rsidR="005F7339" w:rsidRPr="005F7339">
        <w:rPr>
          <w:highlight w:val="yellow"/>
        </w:rPr>
        <w:t>of the</w:t>
      </w:r>
      <w:r w:rsidRPr="005F7339">
        <w:rPr>
          <w:highlight w:val="yellow"/>
        </w:rPr>
        <w:t xml:space="preserve"> polarized cathode enrichment (PCE)</w:t>
      </w:r>
      <w:r w:rsidRPr="00C13637">
        <w:rPr>
          <w:highlight w:val="yellow"/>
        </w:rPr>
        <w:t xml:space="preserve"> and non-polarized cathode enrichment (nPCE)</w:t>
      </w:r>
      <w:r w:rsidR="007977D4" w:rsidRPr="00C13637">
        <w:rPr>
          <w:highlight w:val="yellow"/>
        </w:rPr>
        <w:t xml:space="preserve"> and</w:t>
      </w:r>
      <w:r w:rsidRPr="00C13637">
        <w:rPr>
          <w:highlight w:val="yellow"/>
        </w:rPr>
        <w:t xml:space="preserve"> (b) N-NH</w:t>
      </w:r>
      <w:r w:rsidRPr="00C13637">
        <w:rPr>
          <w:highlight w:val="yellow"/>
          <w:vertAlign w:val="subscript"/>
        </w:rPr>
        <w:t>4</w:t>
      </w:r>
      <w:r w:rsidRPr="00C13637">
        <w:rPr>
          <w:highlight w:val="yellow"/>
          <w:vertAlign w:val="superscript"/>
        </w:rPr>
        <w:t>+</w:t>
      </w:r>
      <w:r w:rsidRPr="00C13637">
        <w:rPr>
          <w:highlight w:val="yellow"/>
        </w:rPr>
        <w:t xml:space="preserve"> concentration in </w:t>
      </w:r>
      <w:r w:rsidR="005F7339" w:rsidRPr="00C13637">
        <w:rPr>
          <w:highlight w:val="yellow"/>
        </w:rPr>
        <w:t>H</w:t>
      </w:r>
      <w:r w:rsidR="005F7339" w:rsidRPr="00C13637">
        <w:rPr>
          <w:highlight w:val="yellow"/>
          <w:vertAlign w:val="subscript"/>
        </w:rPr>
        <w:t>2</w:t>
      </w:r>
      <w:r w:rsidR="005F7339" w:rsidRPr="00C13637">
        <w:rPr>
          <w:highlight w:val="yellow"/>
        </w:rPr>
        <w:t xml:space="preserve"> enrichment (</w:t>
      </w:r>
      <w:r w:rsidRPr="00C13637">
        <w:rPr>
          <w:highlight w:val="yellow"/>
        </w:rPr>
        <w:t>H</w:t>
      </w:r>
      <w:r w:rsidRPr="00C13637">
        <w:rPr>
          <w:highlight w:val="yellow"/>
          <w:vertAlign w:val="subscript"/>
        </w:rPr>
        <w:t>2</w:t>
      </w:r>
      <w:r w:rsidRPr="00C13637">
        <w:rPr>
          <w:highlight w:val="yellow"/>
        </w:rPr>
        <w:t>E</w:t>
      </w:r>
      <w:r w:rsidR="005F7339" w:rsidRPr="00C13637">
        <w:rPr>
          <w:highlight w:val="yellow"/>
        </w:rPr>
        <w:t>)</w:t>
      </w:r>
      <w:r w:rsidRPr="00C13637">
        <w:rPr>
          <w:highlight w:val="yellow"/>
        </w:rPr>
        <w:t>, PCE and nPCE</w:t>
      </w:r>
      <w:bookmarkEnd w:id="15"/>
      <w:r w:rsidRPr="00C13637">
        <w:rPr>
          <w:highlight w:val="yellow"/>
        </w:rPr>
        <w:t>.</w:t>
      </w:r>
    </w:p>
    <w:p w14:paraId="37C412EE" w14:textId="5C4DD557" w:rsidR="00643E01" w:rsidRPr="00643E01" w:rsidRDefault="00643E01" w:rsidP="00643E01">
      <w:pPr>
        <w:pStyle w:val="PCJtext"/>
      </w:pPr>
      <w:r w:rsidRPr="00643E01">
        <w:t>Current densities and rates of acetate production, N</w:t>
      </w:r>
      <w:r w:rsidRPr="00643E01">
        <w:rPr>
          <w:vertAlign w:val="subscript"/>
        </w:rPr>
        <w:t>2</w:t>
      </w:r>
      <w:r w:rsidRPr="00643E01">
        <w:t xml:space="preserve"> fixation and biomass growth are </w:t>
      </w:r>
      <w:r w:rsidRPr="00127A82">
        <w:t xml:space="preserve">shown in </w:t>
      </w:r>
      <w:r w:rsidR="006538F1" w:rsidRPr="00127A82">
        <w:fldChar w:fldCharType="begin"/>
      </w:r>
      <w:r w:rsidR="006538F1" w:rsidRPr="00127A82">
        <w:instrText xml:space="preserve"> REF _Ref122443794 \h </w:instrText>
      </w:r>
      <w:r w:rsidR="007C15C3" w:rsidRPr="00127A82">
        <w:instrText xml:space="preserve"> \* MERGEFORMAT </w:instrText>
      </w:r>
      <w:r w:rsidR="006538F1" w:rsidRPr="00127A82">
        <w:fldChar w:fldCharType="separate"/>
      </w:r>
      <w:r w:rsidR="00C43881">
        <w:t>t</w:t>
      </w:r>
      <w:r w:rsidR="006538F1" w:rsidRPr="00127A82">
        <w:t>able 3</w:t>
      </w:r>
      <w:r w:rsidR="006538F1" w:rsidRPr="00127A82">
        <w:fldChar w:fldCharType="end"/>
      </w:r>
      <w:r w:rsidRPr="00127A82">
        <w:t>. Coulombic efficiencies associated with each reaction were estimated based on these results (</w:t>
      </w:r>
      <w:r w:rsidR="006538F1" w:rsidRPr="00127A82">
        <w:fldChar w:fldCharType="begin"/>
      </w:r>
      <w:r w:rsidR="006538F1" w:rsidRPr="00127A82">
        <w:instrText xml:space="preserve"> REF _Ref122443794 \h </w:instrText>
      </w:r>
      <w:r w:rsidR="007C15C3" w:rsidRPr="00127A82">
        <w:instrText xml:space="preserve"> \* MERGEFORMAT </w:instrText>
      </w:r>
      <w:r w:rsidR="006538F1" w:rsidRPr="00127A82">
        <w:fldChar w:fldCharType="separate"/>
      </w:r>
      <w:r w:rsidR="006538F1" w:rsidRPr="00127A82">
        <w:t>Table 3</w:t>
      </w:r>
      <w:r w:rsidR="006538F1" w:rsidRPr="00127A82">
        <w:fldChar w:fldCharType="end"/>
      </w:r>
      <w:r w:rsidRPr="00127A82">
        <w:t>). During the first 214 days of enrichment, 0.6 to 3.3% of the electrons were used for N</w:t>
      </w:r>
      <w:r w:rsidRPr="00C13637">
        <w:rPr>
          <w:vertAlign w:val="subscript"/>
        </w:rPr>
        <w:t>2</w:t>
      </w:r>
      <w:r w:rsidRPr="00127A82">
        <w:t xml:space="preserve"> fixation in the two </w:t>
      </w:r>
      <w:r w:rsidRPr="00643E01">
        <w:t>PCE. In comparison, efficiencies of 0.5% and 20% for NH</w:t>
      </w:r>
      <w:r w:rsidRPr="00643E01">
        <w:rPr>
          <w:vertAlign w:val="subscript"/>
        </w:rPr>
        <w:t>4</w:t>
      </w:r>
      <w:r w:rsidRPr="00643E01">
        <w:rPr>
          <w:vertAlign w:val="superscript"/>
        </w:rPr>
        <w:t>+</w:t>
      </w:r>
      <w:r w:rsidRPr="00643E01">
        <w:t xml:space="preserve"> synthesis was reported in two recent works carried out under similar conditions </w:t>
      </w:r>
      <w:r w:rsidRPr="00643E01">
        <w:fldChar w:fldCharType="begin"/>
      </w:r>
      <w:r w:rsidR="008F59C6">
        <w:instrText xml:space="preserve"> ADDIN ZOTERO_ITEM CSL_CITATION {"citationID":"pMdfUi1e","properties":{"formattedCitation":"(Yadav et al., 2022; Zhang et al., 2022)","plainCitation":"(Yadav et al., 2022; Zhang et al., 2022)","noteIndex":0},"citationItems":[{"id":566,"uris":["http://zotero.org/users/local/ahqjqVuV/items/WG5R9KMX"],"itemData":{"id":566,"type":"article-journal","abstract":"Microbial electrosynthesis is a promising technology for high-value added products generation from organic and inorganic waste. In this work, autotrophic dual-chamber microbial electrolysis cells (MECs) were set up for N2 fixation at -0.9 V vs Ag/AgCl (sat. KCl) cathodic potential under ambient conditions. Higher NH4+ production yield (average value of 0.35 µmol h-1 cm-2, normalized to cathode surface area) and higher faradaic efficiency (FE, 20.25%) were obtained with intermittent addition of N2 and CO2, while the yield and FE were only 0.018 µmol h-1 cm-2 and 4.21% in the absence of CO2. Furthermore, cyclic voltammograms (CV) explained the bioelectrochemical behavior of N2 reduction was coupled with CO2 reduction in the autotrophic MECs. Microbial community analysis and functional prediction in the cathodic chamber revealed that Xanthobacter and Hydrogenophaga played as producers for N2 and CO2 fixation and Pannonibacter acting as a decomposer for converting organic nitrogen to ammonium. This work not only provided an optional bioelectrocatalytic method for N2 fixation with negative CO2-emissions but also revealed the mechanism of simultaneous fixation of N2 and CO2 via Calvin cycle in autotrophic MECs.","container-title":"Bioelectrochemistry (Amsterdam, Netherlands)","DOI":"10.1016/j.bioelechem.2021.108044","ISSN":"1878-562X","journalAbbreviation":"Bioelectrochemistry","language":"eng","note":"PMID: 34974371","page":"108044","source":"PubMed","title":"Improving electroautotrophic ammonium production from nitrogen gas by simultaneous carbon dioxide fixation in a dual-chamber microbial electrolysis cell","volume":"144","author":[{"family":"Zhang","given":"Lixia"},{"family":"Tian","given":"Chang"},{"family":"Wang","given":"Haoran"},{"family":"Gu","given":"Wenzhi"},{"family":"Zheng","given":"Decong"},{"family":"Cui","given":"Mengyao"},{"family":"Wang","given":"Xiaomei"},{"family":"He","given":"Xiaohong"},{"family":"Zhan","given":"Guoqiang"},{"family":"Li","given":"Daping"}],"issued":{"date-parts":[["2022",4]]}}},{"id":465,"uris":["http://zotero.org/users/local/ahqjqVuV/items/8UI95P4Z"],"itemData":{"id":465,"type":"article-journal","abstract":"Microbial electrosynthesis (MES) is an emerging technology with the potential to reduce carbon emissions by converting CO2 and renewable power into chemicals. Here, MES of acetate using gaseous N2 as a nitrogen source is investigated as an approach to substitute fixed nitrogen (ammonia) in the process. At an applied cathode potential of − 0.995 V vs. SHE, the mixed microbial community with a few known N2 and CO2 fixing microorganisms produced 463.5 ± 14 mg/l acetate using gaseous N2 and CO2 feedstock along with traces of ammonia (0.80 ± 0.06 mg/l) confirming the simultaneous fixation of these gases. Up to 85%, 0.5%, and 4.9% electrons were recovered in acetate, ammonia, and biomass, respectively, with a maximum of 39% energetic efficiency. A preliminary analysis suggested the possibility of bringing down a considerable amount of CO2 from going into the environment both by fixing CO2 into acetate and avoiding the use of fixed ammonia, the production of which is associated with the CO2 emissions. Thus, the demonstrated process circumvents the conventional fixed nitrogen (ammonia) usage in MES while still being able to produce considerable acetate from CO2.","container-title":"Journal of CO2 Utilization","DOI":"10.1016/j.jcou.2022.101997","ISSN":"2212-9820","journalAbbreviation":"Journal of CO2 Utilization","language":"en","page":"101997","source":"ScienceDirect","title":"Electricity-driven bioproduction from CO2 and N2 feedstocks using enriched mixed microbial culture","volume":"60","author":[{"family":"Yadav","given":"Ravineet"},{"family":"Chiranjeevi","given":"P."},{"family":"Yadav","given":"Sukrampal"},{"family":"Singh","given":"Ramandeep"},{"family":"Patil","given":"Sunil A."}],"issued":{"date-parts":[["2022",6,1]]}}}],"schema":"https://github.com/citation-style-language/schema/raw/master/csl-citation.json"} </w:instrText>
      </w:r>
      <w:r w:rsidRPr="00643E01">
        <w:fldChar w:fldCharType="separate"/>
      </w:r>
      <w:r w:rsidR="008F59C6" w:rsidRPr="008F59C6">
        <w:rPr>
          <w:rFonts w:ascii="Calibri" w:hAnsi="Calibri" w:cs="Calibri"/>
        </w:rPr>
        <w:t>(Yadav et al., 2022; Zhang et al., 2022)</w:t>
      </w:r>
      <w:r w:rsidRPr="00643E01">
        <w:fldChar w:fldCharType="end"/>
      </w:r>
      <w:r w:rsidRPr="00643E01">
        <w:t xml:space="preserve">. As the amount of fixed N was highly dependent on biomass accumulation, negative results were obtained at day 244 when biomass started to decrease. The electrons used at the cathode for biomass synthesis during the first period (131 to 214 days) accounted for 2.8% and 17.3% in the two PCE. </w:t>
      </w:r>
      <w:r w:rsidRPr="007B6420">
        <w:rPr>
          <w:highlight w:val="yellow"/>
        </w:rPr>
        <w:t xml:space="preserve">These high coulombic efficiencies were probably also associated to </w:t>
      </w:r>
      <w:r w:rsidR="007B6420" w:rsidRPr="007B6420">
        <w:rPr>
          <w:highlight w:val="yellow"/>
        </w:rPr>
        <w:t>acetotrophic and acetogenic bacteria</w:t>
      </w:r>
      <w:r w:rsidRPr="007B6420">
        <w:rPr>
          <w:highlight w:val="yellow"/>
        </w:rPr>
        <w:t>.</w:t>
      </w:r>
      <w:r w:rsidR="00FC330A" w:rsidRPr="00FC330A">
        <w:rPr>
          <w:highlight w:val="yellow"/>
        </w:rPr>
        <w:t xml:space="preserve"> </w:t>
      </w:r>
      <w:r w:rsidR="00FC330A" w:rsidRPr="00A20DDD">
        <w:rPr>
          <w:highlight w:val="yellow"/>
        </w:rPr>
        <w:t>Indeed, acetate produced using electron from the cathode could have been used by acetotrophic bacteria for growth, lowering coulombic efficiency of acetogenesis and increasing CE for bacterial growth</w:t>
      </w:r>
      <w:r w:rsidR="00E16042">
        <w:t>.</w:t>
      </w:r>
      <w:r w:rsidRPr="00643E01">
        <w:t xml:space="preserve"> As acetogenic bacteria do not tolerate the presence </w:t>
      </w:r>
      <w:r w:rsidRPr="00643E01">
        <w:lastRenderedPageBreak/>
        <w:t>of oxygen, dissolved O</w:t>
      </w:r>
      <w:r w:rsidRPr="00643E01">
        <w:rPr>
          <w:vertAlign w:val="subscript"/>
        </w:rPr>
        <w:t>2</w:t>
      </w:r>
      <w:r w:rsidRPr="00643E01">
        <w:t xml:space="preserve"> was very probably consumed in some part of the biofilm, leaving other parts in strict anaerobic conditions more favorable for acetogenic bacteria growth.</w:t>
      </w:r>
    </w:p>
    <w:p w14:paraId="2755D41B" w14:textId="4556BDFD" w:rsidR="00643E01" w:rsidRPr="00643E01" w:rsidRDefault="00643E01" w:rsidP="002D6C51">
      <w:pPr>
        <w:pStyle w:val="PCJtext"/>
      </w:pPr>
      <w:r w:rsidRPr="00643E01">
        <w:t>The H</w:t>
      </w:r>
      <w:r w:rsidRPr="00643E01">
        <w:rPr>
          <w:vertAlign w:val="subscript"/>
        </w:rPr>
        <w:t>2</w:t>
      </w:r>
      <w:r w:rsidRPr="00643E01">
        <w:t xml:space="preserve"> recovered in the headspace of the PCE</w:t>
      </w:r>
      <w:r w:rsidRPr="00643E01" w:rsidDel="00845188">
        <w:t xml:space="preserve"> </w:t>
      </w:r>
      <w:r w:rsidRPr="00643E01">
        <w:t xml:space="preserve">accounted for 12 to 22% of the electrons supplied to the cathode as </w:t>
      </w:r>
      <w:r w:rsidRPr="00127A82">
        <w:t>presented in</w:t>
      </w:r>
      <w:r w:rsidR="006538F1" w:rsidRPr="00127A82">
        <w:t xml:space="preserve"> </w:t>
      </w:r>
      <w:r w:rsidR="006538F1" w:rsidRPr="00127A82">
        <w:fldChar w:fldCharType="begin"/>
      </w:r>
      <w:r w:rsidR="006538F1" w:rsidRPr="00127A82">
        <w:instrText xml:space="preserve"> REF _Ref122443794 \h </w:instrText>
      </w:r>
      <w:r w:rsidR="00084D86" w:rsidRPr="00127A82">
        <w:instrText xml:space="preserve"> \* MERGEFORMAT </w:instrText>
      </w:r>
      <w:r w:rsidR="006538F1" w:rsidRPr="00127A82">
        <w:fldChar w:fldCharType="separate"/>
      </w:r>
      <w:r w:rsidR="007C15C3" w:rsidRPr="00127A82">
        <w:t>t</w:t>
      </w:r>
      <w:r w:rsidR="006538F1" w:rsidRPr="00127A82">
        <w:t>able 3</w:t>
      </w:r>
      <w:r w:rsidR="006538F1" w:rsidRPr="00127A82">
        <w:fldChar w:fldCharType="end"/>
      </w:r>
      <w:r w:rsidRPr="00127A82">
        <w:t>. Therefore</w:t>
      </w:r>
      <w:r w:rsidRPr="00456C92">
        <w:t>, H</w:t>
      </w:r>
      <w:r w:rsidRPr="00456C92">
        <w:rPr>
          <w:vertAlign w:val="subscript"/>
        </w:rPr>
        <w:t>2</w:t>
      </w:r>
      <w:r w:rsidRPr="00456C92">
        <w:t xml:space="preserve"> was not related to the biological activity and mostly resulted from an abiotic reaction at the cathode</w:t>
      </w:r>
      <w:r w:rsidR="009A7B4B" w:rsidRPr="00456C92">
        <w:t xml:space="preserve">. </w:t>
      </w:r>
      <w:r w:rsidR="00EB659D" w:rsidRPr="00C13637">
        <w:rPr>
          <w:highlight w:val="yellow"/>
        </w:rPr>
        <w:t>In addition, in presence of O</w:t>
      </w:r>
      <w:r w:rsidR="00EB659D" w:rsidRPr="00C13637">
        <w:rPr>
          <w:highlight w:val="yellow"/>
          <w:vertAlign w:val="subscript"/>
        </w:rPr>
        <w:t>2</w:t>
      </w:r>
      <w:r w:rsidR="00EB659D" w:rsidRPr="00C13637">
        <w:rPr>
          <w:highlight w:val="yellow"/>
        </w:rPr>
        <w:t xml:space="preserve"> in the cathodic chamber, oxygen reduction reactions were expected with regards to the potential used in this study. Indeed, a two-electron reduction could have occurred, resulting in the production of hydrogen peroxide (H</w:t>
      </w:r>
      <w:r w:rsidR="00EB659D" w:rsidRPr="00C13637">
        <w:rPr>
          <w:highlight w:val="yellow"/>
          <w:vertAlign w:val="subscript"/>
        </w:rPr>
        <w:t>2</w:t>
      </w:r>
      <w:r w:rsidR="00EB659D" w:rsidRPr="00C13637">
        <w:rPr>
          <w:highlight w:val="yellow"/>
        </w:rPr>
        <w:t>O</w:t>
      </w:r>
      <w:r w:rsidR="00EB659D" w:rsidRPr="00C13637">
        <w:rPr>
          <w:highlight w:val="yellow"/>
          <w:vertAlign w:val="subscript"/>
        </w:rPr>
        <w:t>2</w:t>
      </w:r>
      <w:r w:rsidR="00EB659D" w:rsidRPr="00C13637">
        <w:rPr>
          <w:highlight w:val="yellow"/>
        </w:rPr>
        <w:t>), which can then undergo further reduction to form water (H</w:t>
      </w:r>
      <w:r w:rsidR="00EB659D" w:rsidRPr="00C13637">
        <w:rPr>
          <w:highlight w:val="yellow"/>
          <w:vertAlign w:val="subscript"/>
        </w:rPr>
        <w:t>2</w:t>
      </w:r>
      <w:r w:rsidR="00EB659D" w:rsidRPr="00C13637">
        <w:rPr>
          <w:highlight w:val="yellow"/>
        </w:rPr>
        <w:t xml:space="preserve">O) </w:t>
      </w:r>
      <w:r w:rsidR="00EB659D" w:rsidRPr="00C13637">
        <w:rPr>
          <w:highlight w:val="yellow"/>
        </w:rPr>
        <w:fldChar w:fldCharType="begin"/>
      </w:r>
      <w:r w:rsidR="00EB659D" w:rsidRPr="00C13637">
        <w:rPr>
          <w:highlight w:val="yellow"/>
        </w:rPr>
        <w:instrText xml:space="preserve"> ADDIN ZOTERO_ITEM CSL_CITATION {"citationID":"66WMWUeG","properties":{"formattedCitation":"(Rozendal et al., 2009; Sim et al., 2015)","plainCitation":"(Rozendal et al., 2009; Sim et al., 2015)","noteIndex":0},"citationItems":[{"id":922,"uris":["http://zotero.org/users/local/ahqjqVuV/items/T8HGQII7"],"itemData":{"id":922,"type":"article-journal","abstract":"Hydrogen peroxide (H2O2) is an important industrial chemical, but its current production methods are highly energy-intensive. This study presents a novel process for the production of H2O2 based on the bioelectrochemical oxidation of wastewater organics at an anode coupled to the cathodic reduction of oxygen to H2O2. At an applied voltage of 0.5V, this system was capable of producing </w:instrText>
      </w:r>
      <w:r w:rsidR="00EB659D" w:rsidRPr="00C13637">
        <w:rPr>
          <w:rFonts w:ascii="Cambria Math" w:hAnsi="Cambria Math" w:cs="Cambria Math"/>
          <w:highlight w:val="yellow"/>
        </w:rPr>
        <w:instrText>∼</w:instrText>
      </w:r>
      <w:r w:rsidR="00EB659D" w:rsidRPr="00C13637">
        <w:rPr>
          <w:highlight w:val="yellow"/>
        </w:rPr>
        <w:instrText xml:space="preserve">1.9±0.2kg H2O2/m3/day from acetate at an overall efficiency of 83.1±4.8%. As most of the required energy was derived from the acetate, the system had a low energy requirement of </w:instrText>
      </w:r>
      <w:r w:rsidR="00EB659D" w:rsidRPr="00C13637">
        <w:rPr>
          <w:rFonts w:ascii="Cambria Math" w:hAnsi="Cambria Math" w:cs="Cambria Math"/>
          <w:highlight w:val="yellow"/>
        </w:rPr>
        <w:instrText>∼</w:instrText>
      </w:r>
      <w:r w:rsidR="00EB659D" w:rsidRPr="00C13637">
        <w:rPr>
          <w:highlight w:val="yellow"/>
        </w:rPr>
        <w:instrText xml:space="preserve">0.93kWh/kg H2O2.","container-title":"Electrochemistry Communications","DOI":"10.1016/j.elecom.2009.07.008","ISSN":"1388-2481","issue":"9","journalAbbreviation":"Electrochemistry Communications","language":"en","page":"1752-1755","source":"ScienceDirect","title":"Efficient hydrogen peroxide generation from organic matter in a bioelectrochemical system","volume":"11","author":[{"family":"Rozendal","given":"René A."},{"family":"Leone","given":"Emilie"},{"family":"Keller","given":"Jürg"},{"family":"Rabaey","given":"Korneel"}],"issued":{"date-parts":[["2009",9,1]]}}},{"id":891,"uris":["http://zotero.org/users/local/ahqjqVuV/items/JM5RHDIC"],"itemData":{"id":891,"type":"article-journal","abstract":"Cathode potential and O2 supply methods were investigated to improve H2O2 synthesis in an electrochemical cell, and optimal cathode conditions were applied for microbial electrochemical cells (MECs). Using aqueous O2 for the cathode significantly improved current density, but H2O2 conversion efficiency was negligible at 0.3–12%. Current density decreased for passive O2 diffusion to the cathode, but H2O2 conversion efficiency increased by 65%. An MEC equipped with a gas diffusion cathode was operated with acetate medium and domestic wastewater, which presented relatively high H2O2 conversion efficiency from 36% to 47%, although cathode overpotential was fluctuated. Due to different current densities, the maximum H2O2 production rate was 141mg H2O2/L-h in the MEC fed with acetate medium, but it became low at 6mg H2O2/L-h in the MEC fed with the wastewater. Our study clearly indicates that improving anodic current density and mitigating membrane fouling would be key parameters for large-scale H2O2-MECs.","collection-title":"Microbial Fuel Cells","container-title":"Bioresource Technology","DOI":"10.1016/j.biortech.2015.06.076","ISSN":"0960-8524","journalAbbreviation":"Bioresource Technology","language":"en","page":"31-36","source":"ScienceDirect","title":"Characterization and optimization of cathodic conditions for H2O2 synthesis in microbial electrochemical cells","volume":"195","author":[{"family":"Sim","given":"Junyoung"},{"family":"An","given":"Junyeong"},{"family":"Elbeshbishy","given":"Elsayed"},{"family":"Ryu","given":"Hodon"},{"family":"Lee","given":"Hyung-Sool"}],"issued":{"date-parts":[["2015",11,1]]}}}],"schema":"https://github.com/citation-style-language/schema/raw/master/csl-citation.json"} </w:instrText>
      </w:r>
      <w:r w:rsidR="00EB659D" w:rsidRPr="00C13637">
        <w:rPr>
          <w:highlight w:val="yellow"/>
        </w:rPr>
        <w:fldChar w:fldCharType="separate"/>
      </w:r>
      <w:r w:rsidR="00EB659D" w:rsidRPr="00C13637">
        <w:rPr>
          <w:highlight w:val="yellow"/>
        </w:rPr>
        <w:t>(Rozendal et al., 2009; Sim et al., 2015)</w:t>
      </w:r>
      <w:r w:rsidR="00EB659D" w:rsidRPr="00C13637">
        <w:rPr>
          <w:highlight w:val="yellow"/>
        </w:rPr>
        <w:fldChar w:fldCharType="end"/>
      </w:r>
      <w:r w:rsidR="00EB659D" w:rsidRPr="00C13637">
        <w:rPr>
          <w:highlight w:val="yellow"/>
        </w:rPr>
        <w:t>. Hydrogen peroxide was not measured, however, the amount of biomass found on the cathodes (</w:t>
      </w:r>
      <w:r w:rsidR="00EB659D" w:rsidRPr="00C13637">
        <w:rPr>
          <w:highlight w:val="yellow"/>
        </w:rPr>
        <w:fldChar w:fldCharType="begin"/>
      </w:r>
      <w:r w:rsidR="00EB659D" w:rsidRPr="00C13637">
        <w:rPr>
          <w:highlight w:val="yellow"/>
        </w:rPr>
        <w:instrText xml:space="preserve"> REF _Ref121472517 \h  \* MERGEFORMAT </w:instrText>
      </w:r>
      <w:r w:rsidR="00EB659D" w:rsidRPr="00C13637">
        <w:rPr>
          <w:highlight w:val="yellow"/>
        </w:rPr>
      </w:r>
      <w:r w:rsidR="00EB659D" w:rsidRPr="00C13637">
        <w:rPr>
          <w:highlight w:val="yellow"/>
        </w:rPr>
        <w:fldChar w:fldCharType="separate"/>
      </w:r>
      <w:r w:rsidR="00EB659D" w:rsidRPr="00C13637">
        <w:rPr>
          <w:highlight w:val="yellow"/>
        </w:rPr>
        <w:t>Figure 4</w:t>
      </w:r>
      <w:r w:rsidR="00EB659D" w:rsidRPr="00C13637">
        <w:rPr>
          <w:highlight w:val="yellow"/>
        </w:rPr>
        <w:fldChar w:fldCharType="end"/>
      </w:r>
      <w:r w:rsidR="00EB659D" w:rsidRPr="00C13637">
        <w:rPr>
          <w:highlight w:val="yellow"/>
        </w:rPr>
        <w:t xml:space="preserve">) suggested that the concentrations of hydrogen peroxide were sufficiently low to have minimal to no impact on the microbial community during the enrichment process. Nonetheless, a fraction of the electrons may have been lost through these oxygen reduction reactions, which could partially account for the low coulombic efficiencies observed in this study. </w:t>
      </w:r>
      <w:r w:rsidRPr="00643E01">
        <w:t xml:space="preserve">Interestingly, a significant production of acetate was also observed. An average rate of 149.1 µmol/L.d and 421.6 µmol/L.d were measured in both PCE for the period from day 131 to day 214, as presented in </w:t>
      </w:r>
      <w:r w:rsidRPr="00643E01">
        <w:fldChar w:fldCharType="begin"/>
      </w:r>
      <w:r w:rsidRPr="00643E01">
        <w:instrText xml:space="preserve"> REF _Ref122443794 \h  \* MERGEFORMAT </w:instrText>
      </w:r>
      <w:r w:rsidRPr="00643E01">
        <w:fldChar w:fldCharType="separate"/>
      </w:r>
      <w:r w:rsidR="00C43881" w:rsidRPr="00127A82">
        <w:t>t</w:t>
      </w:r>
      <w:r w:rsidR="009F23BD" w:rsidRPr="00127A82">
        <w:t>able 3</w:t>
      </w:r>
      <w:r w:rsidRPr="00643E01">
        <w:fldChar w:fldCharType="end"/>
      </w:r>
      <w:r w:rsidRPr="00643E01">
        <w:t>. Acetate production almost stopped with the power failures with acetate measured only on one to two batches per PCE. This decrease correspond to rate of 61.0 µmol/L.d and 57.4 µmol/L.d of acetate in both PCE. Acetate production accounted for 7.9 and 39% of the cathodic electrons during the first period (up to 214 days) and for less than 5% after power failures</w:t>
      </w:r>
      <w:r w:rsidRPr="00456C92">
        <w:rPr>
          <w:highlight w:val="yellow"/>
        </w:rPr>
        <w:t>. To explain the decrease in acetate production, biomass growth and power consumption, it was hypothesized that acetate production might have been due to a specific loss of members able to fix CO</w:t>
      </w:r>
      <w:r w:rsidRPr="00456C92">
        <w:rPr>
          <w:highlight w:val="yellow"/>
          <w:vertAlign w:val="subscript"/>
        </w:rPr>
        <w:t>2</w:t>
      </w:r>
      <w:r w:rsidRPr="00456C92">
        <w:rPr>
          <w:highlight w:val="yellow"/>
        </w:rPr>
        <w:t xml:space="preserve">, and more especially </w:t>
      </w:r>
      <w:r w:rsidR="002D72F0" w:rsidRPr="002D72F0">
        <w:rPr>
          <w:highlight w:val="yellow"/>
        </w:rPr>
        <w:t>au</w:t>
      </w:r>
      <w:r w:rsidRPr="00456C92">
        <w:rPr>
          <w:highlight w:val="yellow"/>
        </w:rPr>
        <w:t>totrophic bacteria</w:t>
      </w:r>
      <w:r w:rsidR="008D0363" w:rsidRPr="00456C92">
        <w:rPr>
          <w:highlight w:val="yellow"/>
        </w:rPr>
        <w:t xml:space="preserve"> using cathode as electron source (H</w:t>
      </w:r>
      <w:r w:rsidR="008D0363" w:rsidRPr="00456C92">
        <w:rPr>
          <w:highlight w:val="yellow"/>
          <w:vertAlign w:val="subscript"/>
        </w:rPr>
        <w:t>2</w:t>
      </w:r>
      <w:r w:rsidR="008D0363" w:rsidRPr="00456C92">
        <w:rPr>
          <w:highlight w:val="yellow"/>
        </w:rPr>
        <w:t xml:space="preserve"> or </w:t>
      </w:r>
      <w:r w:rsidR="008D0363" w:rsidRPr="00FF622B">
        <w:rPr>
          <w:highlight w:val="yellow"/>
        </w:rPr>
        <w:t>DET)</w:t>
      </w:r>
      <w:r w:rsidRPr="00FF622B">
        <w:rPr>
          <w:highlight w:val="yellow"/>
        </w:rPr>
        <w:t>,</w:t>
      </w:r>
      <w:r w:rsidRPr="00025F4C">
        <w:rPr>
          <w:highlight w:val="yellow"/>
        </w:rPr>
        <w:t xml:space="preserve"> within the enriched community</w:t>
      </w:r>
      <w:r w:rsidRPr="00643E01">
        <w:t xml:space="preserve">. Thus, with acetate no longer being produced, heterotrophic bacteria did not have enough organic C to sustain their growth, causing their decrease. </w:t>
      </w:r>
      <w:r w:rsidR="004113F2" w:rsidRPr="00C13637">
        <w:rPr>
          <w:highlight w:val="yellow"/>
        </w:rPr>
        <w:t>Therefore, autototrophic bacteria responsible for CO</w:t>
      </w:r>
      <w:r w:rsidR="004113F2" w:rsidRPr="00C13637">
        <w:rPr>
          <w:highlight w:val="yellow"/>
          <w:vertAlign w:val="subscript"/>
        </w:rPr>
        <w:t>2</w:t>
      </w:r>
      <w:r w:rsidR="004113F2" w:rsidRPr="00C13637">
        <w:rPr>
          <w:highlight w:val="yellow"/>
        </w:rPr>
        <w:t xml:space="preserve"> fixation and heterotrophic bacteria that could also be H</w:t>
      </w:r>
      <w:r w:rsidR="004113F2" w:rsidRPr="00C13637">
        <w:rPr>
          <w:highlight w:val="yellow"/>
          <w:vertAlign w:val="subscript"/>
        </w:rPr>
        <w:t>2</w:t>
      </w:r>
      <w:r w:rsidR="004113F2" w:rsidRPr="00C13637">
        <w:rPr>
          <w:highlight w:val="yellow"/>
        </w:rPr>
        <w:t xml:space="preserve"> dependent for N</w:t>
      </w:r>
      <w:r w:rsidR="004113F2" w:rsidRPr="00C13637">
        <w:rPr>
          <w:highlight w:val="yellow"/>
          <w:vertAlign w:val="subscript"/>
        </w:rPr>
        <w:t>2</w:t>
      </w:r>
      <w:r w:rsidR="004113F2" w:rsidRPr="00C13637">
        <w:rPr>
          <w:highlight w:val="yellow"/>
        </w:rPr>
        <w:t xml:space="preserve"> fixation were greatly affected, leading to a decrease in the reduction reactions at the cathode and subsequently in current density.</w:t>
      </w:r>
      <w:r w:rsidRPr="00C13637">
        <w:t xml:space="preserve"> </w:t>
      </w:r>
      <w:r w:rsidRPr="00643E01">
        <w:t>In addition, acetate was not found in the H</w:t>
      </w:r>
      <w:r w:rsidRPr="00643E01">
        <w:rPr>
          <w:vertAlign w:val="subscript"/>
        </w:rPr>
        <w:t>2</w:t>
      </w:r>
      <w:r w:rsidRPr="00643E01">
        <w:t>E bottles, indicating the absence of acetogenesis and an important difference in microbial pathways and/or communities</w:t>
      </w:r>
      <w:r w:rsidR="00EB659D" w:rsidRPr="00C13637">
        <w:t>.</w:t>
      </w:r>
      <w:r w:rsidR="00EB659D" w:rsidRPr="00C13637">
        <w:rPr>
          <w:highlight w:val="yellow"/>
        </w:rPr>
        <w:t xml:space="preserve"> </w:t>
      </w:r>
      <w:r w:rsidR="004113F2" w:rsidRPr="00C13637">
        <w:rPr>
          <w:highlight w:val="yellow"/>
        </w:rPr>
        <w:t xml:space="preserve">As seen in the </w:t>
      </w:r>
      <w:r w:rsidR="004113F2" w:rsidRPr="00C13637">
        <w:rPr>
          <w:highlight w:val="yellow"/>
        </w:rPr>
        <w:fldChar w:fldCharType="begin"/>
      </w:r>
      <w:r w:rsidR="004113F2" w:rsidRPr="00C13637">
        <w:rPr>
          <w:highlight w:val="yellow"/>
        </w:rPr>
        <w:instrText xml:space="preserve"> REF _Ref122443794 \h  \* MERGEFORMAT </w:instrText>
      </w:r>
      <w:r w:rsidR="004113F2" w:rsidRPr="00C13637">
        <w:rPr>
          <w:highlight w:val="yellow"/>
        </w:rPr>
      </w:r>
      <w:r w:rsidR="004113F2" w:rsidRPr="00C13637">
        <w:rPr>
          <w:highlight w:val="yellow"/>
        </w:rPr>
        <w:fldChar w:fldCharType="separate"/>
      </w:r>
      <w:r w:rsidR="004113F2" w:rsidRPr="00C13637">
        <w:rPr>
          <w:highlight w:val="yellow"/>
        </w:rPr>
        <w:t>Table 3</w:t>
      </w:r>
      <w:r w:rsidR="004113F2" w:rsidRPr="00C13637">
        <w:rPr>
          <w:highlight w:val="yellow"/>
        </w:rPr>
        <w:fldChar w:fldCharType="end"/>
      </w:r>
      <w:r w:rsidR="004113F2" w:rsidRPr="00C13637">
        <w:rPr>
          <w:highlight w:val="yellow"/>
        </w:rPr>
        <w:t>, electrons were retrieved in biomass production, N</w:t>
      </w:r>
      <w:r w:rsidR="004113F2" w:rsidRPr="00C13637">
        <w:rPr>
          <w:highlight w:val="yellow"/>
          <w:vertAlign w:val="subscript"/>
        </w:rPr>
        <w:t>2</w:t>
      </w:r>
      <w:r w:rsidR="004113F2" w:rsidRPr="00C13637">
        <w:rPr>
          <w:highlight w:val="yellow"/>
        </w:rPr>
        <w:t xml:space="preserve"> fixation products, H</w:t>
      </w:r>
      <w:r w:rsidR="004113F2" w:rsidRPr="00C13637">
        <w:rPr>
          <w:highlight w:val="yellow"/>
          <w:vertAlign w:val="subscript"/>
        </w:rPr>
        <w:t>2</w:t>
      </w:r>
      <w:r w:rsidR="004113F2" w:rsidRPr="00C13637">
        <w:rPr>
          <w:highlight w:val="yellow"/>
        </w:rPr>
        <w:t xml:space="preserve"> found in headspace and in CH</w:t>
      </w:r>
      <w:r w:rsidR="004113F2" w:rsidRPr="00C13637">
        <w:rPr>
          <w:highlight w:val="yellow"/>
          <w:vertAlign w:val="subscript"/>
        </w:rPr>
        <w:t>3</w:t>
      </w:r>
      <w:r w:rsidR="004113F2" w:rsidRPr="00C13637">
        <w:rPr>
          <w:highlight w:val="yellow"/>
        </w:rPr>
        <w:t>COOH product from CO</w:t>
      </w:r>
      <w:r w:rsidR="004113F2" w:rsidRPr="00C13637">
        <w:rPr>
          <w:highlight w:val="yellow"/>
          <w:vertAlign w:val="subscript"/>
        </w:rPr>
        <w:t>2</w:t>
      </w:r>
      <w:r w:rsidR="004113F2" w:rsidRPr="00C13637">
        <w:rPr>
          <w:highlight w:val="yellow"/>
        </w:rPr>
        <w:t>. These products were not sufficient to close the electron mass balance. The loss of electrons and the differences between cathodes of PCE 1 and PCE 2 was explained by side reactions, such as O</w:t>
      </w:r>
      <w:r w:rsidR="004113F2" w:rsidRPr="00C13637">
        <w:rPr>
          <w:highlight w:val="yellow"/>
          <w:vertAlign w:val="subscript"/>
        </w:rPr>
        <w:t>2</w:t>
      </w:r>
      <w:r w:rsidR="004113F2" w:rsidRPr="00C13637">
        <w:rPr>
          <w:highlight w:val="yellow"/>
        </w:rPr>
        <w:t xml:space="preserve"> reduction or biological reaction such as exopolysaccharide (EPS) production.</w:t>
      </w:r>
    </w:p>
    <w:p w14:paraId="22B6C47C" w14:textId="7570C6A5" w:rsidR="00643E01" w:rsidRPr="00C13637" w:rsidRDefault="00643E01" w:rsidP="00C13637">
      <w:pPr>
        <w:pStyle w:val="PCJtablelegend"/>
      </w:pPr>
      <w:bookmarkStart w:id="16" w:name="_Ref122443794"/>
      <w:bookmarkStart w:id="17" w:name="_Ref122443789"/>
      <w:bookmarkStart w:id="18" w:name="_Ref137205828"/>
      <w:r w:rsidRPr="00C13637">
        <w:rPr>
          <w:b/>
        </w:rPr>
        <w:t xml:space="preserve">Table </w:t>
      </w:r>
      <w:r w:rsidRPr="00C13637">
        <w:rPr>
          <w:b/>
        </w:rPr>
        <w:fldChar w:fldCharType="begin"/>
      </w:r>
      <w:r w:rsidRPr="00C13637">
        <w:rPr>
          <w:b/>
        </w:rPr>
        <w:instrText xml:space="preserve"> SEQ Table \* ARABIC </w:instrText>
      </w:r>
      <w:r w:rsidRPr="00C13637">
        <w:rPr>
          <w:b/>
        </w:rPr>
        <w:fldChar w:fldCharType="separate"/>
      </w:r>
      <w:r w:rsidR="008B3FF9" w:rsidRPr="00C13637">
        <w:rPr>
          <w:b/>
        </w:rPr>
        <w:t>3</w:t>
      </w:r>
      <w:r w:rsidRPr="00C13637">
        <w:rPr>
          <w:b/>
        </w:rPr>
        <w:fldChar w:fldCharType="end"/>
      </w:r>
      <w:bookmarkEnd w:id="16"/>
      <w:r w:rsidRPr="00C13637">
        <w:t xml:space="preserve"> - Current densities, rates and coulombic efficiencies for the two polarized cathode enrichment (PCE) over two different periods of current </w:t>
      </w:r>
      <w:r w:rsidR="00532170" w:rsidRPr="00C13637">
        <w:rPr>
          <w:highlight w:val="yellow"/>
        </w:rPr>
        <w:t>density</w:t>
      </w:r>
      <w:r w:rsidRPr="00C13637">
        <w:t xml:space="preserve"> with CO</w:t>
      </w:r>
      <w:r w:rsidRPr="00C13637">
        <w:rPr>
          <w:vertAlign w:val="subscript"/>
        </w:rPr>
        <w:t>2</w:t>
      </w:r>
      <w:r w:rsidRPr="00C13637">
        <w:t xml:space="preserve"> as sole carbon source. During the first period (131-214 days) current </w:t>
      </w:r>
      <w:r w:rsidR="00532170" w:rsidRPr="00C13637">
        <w:rPr>
          <w:highlight w:val="yellow"/>
        </w:rPr>
        <w:t>density</w:t>
      </w:r>
      <w:r w:rsidRPr="00C13637">
        <w:t xml:space="preserve"> increased, whereas during the second period (&gt;215) </w:t>
      </w:r>
      <w:bookmarkEnd w:id="17"/>
      <w:r w:rsidRPr="00C13637">
        <w:t xml:space="preserve">current </w:t>
      </w:r>
      <w:r w:rsidR="00532170" w:rsidRPr="00C13637">
        <w:rPr>
          <w:highlight w:val="yellow"/>
        </w:rPr>
        <w:t>density</w:t>
      </w:r>
      <w:r w:rsidRPr="00C13637">
        <w:t xml:space="preserve"> decreased after several power outages (see </w:t>
      </w:r>
      <w:r w:rsidR="00B83F23" w:rsidRPr="00C13637">
        <w:fldChar w:fldCharType="begin"/>
      </w:r>
      <w:r w:rsidR="00B83F23" w:rsidRPr="00C13637">
        <w:instrText xml:space="preserve"> REF _Ref122363552 \h </w:instrText>
      </w:r>
      <w:r w:rsidR="007C15C3" w:rsidRPr="00C13637">
        <w:instrText xml:space="preserve"> \* MERGEFORMAT </w:instrText>
      </w:r>
      <w:r w:rsidR="00B83F23" w:rsidRPr="00C13637">
        <w:fldChar w:fldCharType="separate"/>
      </w:r>
      <w:r w:rsidR="00C13637">
        <w:t>F</w:t>
      </w:r>
      <w:r w:rsidR="00B83F23" w:rsidRPr="00C13637">
        <w:t>igure 3</w:t>
      </w:r>
      <w:r w:rsidR="00B83F23" w:rsidRPr="00C13637">
        <w:fldChar w:fldCharType="end"/>
      </w:r>
      <w:r w:rsidRPr="00C13637">
        <w:t>).</w:t>
      </w:r>
      <w:bookmarkEnd w:id="18"/>
    </w:p>
    <w:tbl>
      <w:tblPr>
        <w:tblStyle w:val="Grilledutableau"/>
        <w:tblW w:w="9398" w:type="dxa"/>
        <w:tblLook w:val="04A0" w:firstRow="1" w:lastRow="0" w:firstColumn="1" w:lastColumn="0" w:noHBand="0" w:noVBand="1"/>
      </w:tblPr>
      <w:tblGrid>
        <w:gridCol w:w="1946"/>
        <w:gridCol w:w="2209"/>
        <w:gridCol w:w="1396"/>
        <w:gridCol w:w="1256"/>
        <w:gridCol w:w="10"/>
        <w:gridCol w:w="1207"/>
        <w:gridCol w:w="1364"/>
        <w:gridCol w:w="10"/>
      </w:tblGrid>
      <w:tr w:rsidR="00643E01" w:rsidRPr="00643E01" w14:paraId="4FC99233" w14:textId="77777777" w:rsidTr="00643E01">
        <w:tc>
          <w:tcPr>
            <w:tcW w:w="4155" w:type="dxa"/>
            <w:gridSpan w:val="2"/>
            <w:vMerge w:val="restart"/>
          </w:tcPr>
          <w:p w14:paraId="589C971F" w14:textId="77777777" w:rsidR="00643E01" w:rsidRPr="00643E01" w:rsidRDefault="00643E01" w:rsidP="00C13637">
            <w:pPr>
              <w:pStyle w:val="PCJTable"/>
            </w:pPr>
          </w:p>
        </w:tc>
        <w:tc>
          <w:tcPr>
            <w:tcW w:w="2662" w:type="dxa"/>
            <w:gridSpan w:val="3"/>
          </w:tcPr>
          <w:p w14:paraId="0A5E6472" w14:textId="77777777" w:rsidR="00643E01" w:rsidRPr="00643E01" w:rsidRDefault="00643E01" w:rsidP="00C13637">
            <w:pPr>
              <w:pStyle w:val="PCJTable"/>
            </w:pPr>
            <w:r w:rsidRPr="00643E01">
              <w:t>131-214 days</w:t>
            </w:r>
          </w:p>
        </w:tc>
        <w:tc>
          <w:tcPr>
            <w:tcW w:w="2581" w:type="dxa"/>
            <w:gridSpan w:val="3"/>
          </w:tcPr>
          <w:p w14:paraId="62401745" w14:textId="77777777" w:rsidR="00643E01" w:rsidRPr="00643E01" w:rsidRDefault="00643E01" w:rsidP="00C13637">
            <w:pPr>
              <w:pStyle w:val="PCJTable"/>
            </w:pPr>
            <w:r w:rsidRPr="00643E01">
              <w:t>&gt; 215 days</w:t>
            </w:r>
          </w:p>
        </w:tc>
      </w:tr>
      <w:tr w:rsidR="00643E01" w:rsidRPr="00643E01" w14:paraId="56DD45A2" w14:textId="77777777" w:rsidTr="00643E01">
        <w:trPr>
          <w:gridAfter w:val="1"/>
          <w:wAfter w:w="10" w:type="dxa"/>
        </w:trPr>
        <w:tc>
          <w:tcPr>
            <w:tcW w:w="4155" w:type="dxa"/>
            <w:gridSpan w:val="2"/>
            <w:vMerge/>
          </w:tcPr>
          <w:p w14:paraId="02FA8A18" w14:textId="77777777" w:rsidR="00643E01" w:rsidRPr="00643E01" w:rsidRDefault="00643E01" w:rsidP="00C13637">
            <w:pPr>
              <w:pStyle w:val="PCJTable"/>
            </w:pPr>
          </w:p>
        </w:tc>
        <w:tc>
          <w:tcPr>
            <w:tcW w:w="1396" w:type="dxa"/>
          </w:tcPr>
          <w:p w14:paraId="60906CD8" w14:textId="77777777" w:rsidR="00643E01" w:rsidRPr="00643E01" w:rsidRDefault="00643E01" w:rsidP="00C13637">
            <w:pPr>
              <w:pStyle w:val="PCJTable"/>
            </w:pPr>
            <w:r w:rsidRPr="00643E01">
              <w:t>PCE 1</w:t>
            </w:r>
          </w:p>
          <w:p w14:paraId="1FAC882B" w14:textId="77777777" w:rsidR="00643E01" w:rsidRPr="00643E01" w:rsidRDefault="00643E01" w:rsidP="00C13637">
            <w:pPr>
              <w:pStyle w:val="PCJTable"/>
            </w:pPr>
          </w:p>
        </w:tc>
        <w:tc>
          <w:tcPr>
            <w:tcW w:w="1256" w:type="dxa"/>
          </w:tcPr>
          <w:p w14:paraId="38F0A11A" w14:textId="77777777" w:rsidR="00643E01" w:rsidRPr="00643E01" w:rsidRDefault="00643E01" w:rsidP="00C13637">
            <w:pPr>
              <w:pStyle w:val="PCJTable"/>
            </w:pPr>
            <w:r w:rsidRPr="00643E01">
              <w:t>PCE 2</w:t>
            </w:r>
          </w:p>
          <w:p w14:paraId="0261473A" w14:textId="77777777" w:rsidR="00643E01" w:rsidRPr="00643E01" w:rsidRDefault="00643E01" w:rsidP="00C13637">
            <w:pPr>
              <w:pStyle w:val="PCJTable"/>
            </w:pPr>
          </w:p>
        </w:tc>
        <w:tc>
          <w:tcPr>
            <w:tcW w:w="1217" w:type="dxa"/>
            <w:gridSpan w:val="2"/>
          </w:tcPr>
          <w:p w14:paraId="68F63B4F" w14:textId="77777777" w:rsidR="00643E01" w:rsidRPr="00643E01" w:rsidRDefault="00643E01" w:rsidP="00C13637">
            <w:pPr>
              <w:pStyle w:val="PCJTable"/>
            </w:pPr>
            <w:r w:rsidRPr="00643E01">
              <w:t>PCE 1</w:t>
            </w:r>
          </w:p>
        </w:tc>
        <w:tc>
          <w:tcPr>
            <w:tcW w:w="1364" w:type="dxa"/>
          </w:tcPr>
          <w:p w14:paraId="494E2B3B" w14:textId="77777777" w:rsidR="00643E01" w:rsidRPr="00643E01" w:rsidRDefault="00643E01" w:rsidP="00C13637">
            <w:pPr>
              <w:pStyle w:val="PCJTable"/>
            </w:pPr>
            <w:r w:rsidRPr="00643E01">
              <w:t>PCE 2</w:t>
            </w:r>
          </w:p>
        </w:tc>
      </w:tr>
      <w:tr w:rsidR="00643E01" w:rsidRPr="00643E01" w14:paraId="2046725A" w14:textId="77777777" w:rsidTr="00643E01">
        <w:trPr>
          <w:gridAfter w:val="1"/>
          <w:wAfter w:w="10" w:type="dxa"/>
        </w:trPr>
        <w:tc>
          <w:tcPr>
            <w:tcW w:w="1946" w:type="dxa"/>
            <w:vMerge w:val="restart"/>
          </w:tcPr>
          <w:p w14:paraId="01C53178" w14:textId="77777777" w:rsidR="00643E01" w:rsidRPr="00643E01" w:rsidRDefault="00643E01" w:rsidP="00C13637">
            <w:pPr>
              <w:pStyle w:val="PCJTable"/>
            </w:pPr>
            <w:r w:rsidRPr="00643E01">
              <w:t>J A/m²</w:t>
            </w:r>
          </w:p>
        </w:tc>
        <w:tc>
          <w:tcPr>
            <w:tcW w:w="2209" w:type="dxa"/>
          </w:tcPr>
          <w:p w14:paraId="0507855D" w14:textId="77777777" w:rsidR="00643E01" w:rsidRPr="00643E01" w:rsidRDefault="00643E01" w:rsidP="00C13637">
            <w:pPr>
              <w:pStyle w:val="PCJTable"/>
            </w:pPr>
            <w:r w:rsidRPr="00643E01">
              <w:t>Mean</w:t>
            </w:r>
          </w:p>
        </w:tc>
        <w:tc>
          <w:tcPr>
            <w:tcW w:w="1396" w:type="dxa"/>
          </w:tcPr>
          <w:p w14:paraId="0C94002E" w14:textId="77777777" w:rsidR="00643E01" w:rsidRPr="00643E01" w:rsidRDefault="00643E01" w:rsidP="00C13637">
            <w:pPr>
              <w:pStyle w:val="PCJTable"/>
            </w:pPr>
            <w:r w:rsidRPr="00643E01">
              <w:t>7.7±3.1</w:t>
            </w:r>
          </w:p>
        </w:tc>
        <w:tc>
          <w:tcPr>
            <w:tcW w:w="1256" w:type="dxa"/>
          </w:tcPr>
          <w:p w14:paraId="24D7A272" w14:textId="77777777" w:rsidR="00643E01" w:rsidRPr="00643E01" w:rsidRDefault="00643E01" w:rsidP="00C13637">
            <w:pPr>
              <w:pStyle w:val="PCJTable"/>
            </w:pPr>
            <w:r w:rsidRPr="00643E01">
              <w:t>5.9±2.4</w:t>
            </w:r>
          </w:p>
        </w:tc>
        <w:tc>
          <w:tcPr>
            <w:tcW w:w="1217" w:type="dxa"/>
            <w:gridSpan w:val="2"/>
          </w:tcPr>
          <w:p w14:paraId="7F7FAD68" w14:textId="77777777" w:rsidR="00643E01" w:rsidRPr="00643E01" w:rsidRDefault="00643E01" w:rsidP="00C13637">
            <w:pPr>
              <w:pStyle w:val="PCJTable"/>
            </w:pPr>
            <w:r w:rsidRPr="00643E01">
              <w:t>6.2±4.1</w:t>
            </w:r>
          </w:p>
        </w:tc>
        <w:tc>
          <w:tcPr>
            <w:tcW w:w="1364" w:type="dxa"/>
          </w:tcPr>
          <w:p w14:paraId="602C585B" w14:textId="77777777" w:rsidR="00643E01" w:rsidRPr="00643E01" w:rsidRDefault="00643E01" w:rsidP="00C13637">
            <w:pPr>
              <w:pStyle w:val="PCJTable"/>
            </w:pPr>
            <w:r w:rsidRPr="00643E01">
              <w:t>3.8±2.2</w:t>
            </w:r>
          </w:p>
        </w:tc>
      </w:tr>
      <w:tr w:rsidR="00643E01" w:rsidRPr="00643E01" w14:paraId="0EB5C6E4" w14:textId="77777777" w:rsidTr="00643E01">
        <w:trPr>
          <w:gridAfter w:val="1"/>
          <w:wAfter w:w="10" w:type="dxa"/>
        </w:trPr>
        <w:tc>
          <w:tcPr>
            <w:tcW w:w="1946" w:type="dxa"/>
            <w:vMerge/>
          </w:tcPr>
          <w:p w14:paraId="499DB1A0" w14:textId="77777777" w:rsidR="00643E01" w:rsidRPr="00643E01" w:rsidRDefault="00643E01" w:rsidP="00C13637">
            <w:pPr>
              <w:pStyle w:val="PCJTable"/>
            </w:pPr>
          </w:p>
        </w:tc>
        <w:tc>
          <w:tcPr>
            <w:tcW w:w="2209" w:type="dxa"/>
          </w:tcPr>
          <w:p w14:paraId="41B4132D" w14:textId="77777777" w:rsidR="00643E01" w:rsidRPr="00643E01" w:rsidRDefault="00643E01" w:rsidP="00C13637">
            <w:pPr>
              <w:pStyle w:val="PCJTable"/>
            </w:pPr>
            <w:r w:rsidRPr="00643E01">
              <w:t>Max</w:t>
            </w:r>
          </w:p>
        </w:tc>
        <w:tc>
          <w:tcPr>
            <w:tcW w:w="1396" w:type="dxa"/>
          </w:tcPr>
          <w:p w14:paraId="34508D33" w14:textId="77777777" w:rsidR="00643E01" w:rsidRPr="00643E01" w:rsidRDefault="00643E01" w:rsidP="00C13637">
            <w:pPr>
              <w:pStyle w:val="PCJTable"/>
            </w:pPr>
            <w:r w:rsidRPr="00643E01">
              <w:t xml:space="preserve">28.2 </w:t>
            </w:r>
          </w:p>
        </w:tc>
        <w:tc>
          <w:tcPr>
            <w:tcW w:w="1256" w:type="dxa"/>
          </w:tcPr>
          <w:p w14:paraId="1145ADEE" w14:textId="77777777" w:rsidR="00643E01" w:rsidRPr="00643E01" w:rsidRDefault="00643E01" w:rsidP="00C13637">
            <w:pPr>
              <w:pStyle w:val="PCJTable"/>
            </w:pPr>
            <w:r w:rsidRPr="00643E01">
              <w:t xml:space="preserve">11.3 </w:t>
            </w:r>
          </w:p>
        </w:tc>
        <w:tc>
          <w:tcPr>
            <w:tcW w:w="1217" w:type="dxa"/>
            <w:gridSpan w:val="2"/>
          </w:tcPr>
          <w:p w14:paraId="392E331E" w14:textId="77777777" w:rsidR="00643E01" w:rsidRPr="00643E01" w:rsidRDefault="00643E01" w:rsidP="00C13637">
            <w:pPr>
              <w:pStyle w:val="PCJTable"/>
            </w:pPr>
            <w:r w:rsidRPr="00643E01">
              <w:t xml:space="preserve">19.5 </w:t>
            </w:r>
          </w:p>
        </w:tc>
        <w:tc>
          <w:tcPr>
            <w:tcW w:w="1364" w:type="dxa"/>
          </w:tcPr>
          <w:p w14:paraId="3C6BCD75" w14:textId="77777777" w:rsidR="00643E01" w:rsidRPr="00643E01" w:rsidRDefault="00643E01" w:rsidP="00C13637">
            <w:pPr>
              <w:pStyle w:val="PCJTable"/>
            </w:pPr>
            <w:r w:rsidRPr="00643E01">
              <w:t xml:space="preserve">9.9 </w:t>
            </w:r>
          </w:p>
        </w:tc>
      </w:tr>
      <w:tr w:rsidR="00643E01" w:rsidRPr="00643E01" w14:paraId="69203BD1" w14:textId="77777777" w:rsidTr="00643E01">
        <w:trPr>
          <w:gridAfter w:val="1"/>
          <w:wAfter w:w="10" w:type="dxa"/>
        </w:trPr>
        <w:tc>
          <w:tcPr>
            <w:tcW w:w="1946" w:type="dxa"/>
          </w:tcPr>
          <w:p w14:paraId="6E9BD3F2" w14:textId="77777777" w:rsidR="00643E01" w:rsidRPr="00643E01" w:rsidRDefault="00643E01" w:rsidP="00C13637">
            <w:pPr>
              <w:pStyle w:val="PCJTable"/>
            </w:pPr>
            <w:r w:rsidRPr="00643E01">
              <w:t>Acetate µmol/L.d</w:t>
            </w:r>
          </w:p>
        </w:tc>
        <w:tc>
          <w:tcPr>
            <w:tcW w:w="2209" w:type="dxa"/>
          </w:tcPr>
          <w:p w14:paraId="6B1ED0D0" w14:textId="77777777" w:rsidR="00643E01" w:rsidRPr="00643E01" w:rsidRDefault="00643E01" w:rsidP="00C13637">
            <w:pPr>
              <w:pStyle w:val="PCJTable"/>
            </w:pPr>
            <w:r w:rsidRPr="00643E01">
              <w:t>Mean</w:t>
            </w:r>
          </w:p>
        </w:tc>
        <w:tc>
          <w:tcPr>
            <w:tcW w:w="1396" w:type="dxa"/>
          </w:tcPr>
          <w:p w14:paraId="183DBCF7" w14:textId="77777777" w:rsidR="00643E01" w:rsidRPr="00643E01" w:rsidRDefault="00643E01" w:rsidP="00C13637">
            <w:pPr>
              <w:pStyle w:val="PCJTable"/>
            </w:pPr>
            <w:r w:rsidRPr="00643E01">
              <w:t>149.1±203.1</w:t>
            </w:r>
          </w:p>
        </w:tc>
        <w:tc>
          <w:tcPr>
            <w:tcW w:w="1256" w:type="dxa"/>
          </w:tcPr>
          <w:p w14:paraId="13871DE2" w14:textId="77777777" w:rsidR="00643E01" w:rsidRPr="00643E01" w:rsidRDefault="00643E01" w:rsidP="00C13637">
            <w:pPr>
              <w:pStyle w:val="PCJTable"/>
            </w:pPr>
            <w:r w:rsidRPr="00643E01">
              <w:t>421.6±216.7</w:t>
            </w:r>
          </w:p>
        </w:tc>
        <w:tc>
          <w:tcPr>
            <w:tcW w:w="1217" w:type="dxa"/>
            <w:gridSpan w:val="2"/>
          </w:tcPr>
          <w:p w14:paraId="41922BE3" w14:textId="77777777" w:rsidR="00643E01" w:rsidRPr="00643E01" w:rsidRDefault="00643E01" w:rsidP="00C13637">
            <w:pPr>
              <w:pStyle w:val="PCJTable"/>
            </w:pPr>
            <w:r w:rsidRPr="00643E01">
              <w:t>57.4±151.8</w:t>
            </w:r>
          </w:p>
        </w:tc>
        <w:tc>
          <w:tcPr>
            <w:tcW w:w="1364" w:type="dxa"/>
          </w:tcPr>
          <w:p w14:paraId="1FAA7391" w14:textId="77777777" w:rsidR="00643E01" w:rsidRPr="00643E01" w:rsidRDefault="00643E01" w:rsidP="00C13637">
            <w:pPr>
              <w:pStyle w:val="PCJTable"/>
            </w:pPr>
            <w:r w:rsidRPr="00643E01">
              <w:t>61.0±106.5</w:t>
            </w:r>
          </w:p>
        </w:tc>
      </w:tr>
      <w:tr w:rsidR="00643E01" w:rsidRPr="00643E01" w14:paraId="54EEB0C3" w14:textId="77777777" w:rsidTr="00643E01">
        <w:trPr>
          <w:gridAfter w:val="1"/>
          <w:wAfter w:w="10" w:type="dxa"/>
        </w:trPr>
        <w:tc>
          <w:tcPr>
            <w:tcW w:w="1946" w:type="dxa"/>
            <w:vMerge w:val="restart"/>
          </w:tcPr>
          <w:p w14:paraId="14A3BF55" w14:textId="77777777" w:rsidR="00643E01" w:rsidRPr="00643E01" w:rsidRDefault="00643E01" w:rsidP="00C13637">
            <w:pPr>
              <w:pStyle w:val="PCJTable"/>
            </w:pPr>
            <w:r w:rsidRPr="00643E01">
              <w:t>N µmol/L.d</w:t>
            </w:r>
          </w:p>
        </w:tc>
        <w:tc>
          <w:tcPr>
            <w:tcW w:w="2209" w:type="dxa"/>
          </w:tcPr>
          <w:p w14:paraId="68EFE3C3" w14:textId="77777777" w:rsidR="00643E01" w:rsidRPr="00643E01" w:rsidRDefault="00643E01" w:rsidP="00C13637">
            <w:pPr>
              <w:pStyle w:val="PCJTable"/>
              <w:rPr>
                <w:vertAlign w:val="superscript"/>
              </w:rPr>
            </w:pPr>
            <w:r w:rsidRPr="00643E01">
              <w:t>N-NH</w:t>
            </w:r>
            <w:r w:rsidRPr="00643E01">
              <w:rPr>
                <w:vertAlign w:val="subscript"/>
              </w:rPr>
              <w:t>4</w:t>
            </w:r>
            <w:r w:rsidRPr="00643E01">
              <w:rPr>
                <w:vertAlign w:val="superscript"/>
              </w:rPr>
              <w:t>+</w:t>
            </w:r>
          </w:p>
        </w:tc>
        <w:tc>
          <w:tcPr>
            <w:tcW w:w="1396" w:type="dxa"/>
          </w:tcPr>
          <w:p w14:paraId="56019F68" w14:textId="77777777" w:rsidR="00643E01" w:rsidRPr="00643E01" w:rsidRDefault="00643E01" w:rsidP="00C13637">
            <w:pPr>
              <w:pStyle w:val="PCJTable"/>
            </w:pPr>
            <w:r w:rsidRPr="00643E01">
              <w:t>0.108±0.225</w:t>
            </w:r>
          </w:p>
        </w:tc>
        <w:tc>
          <w:tcPr>
            <w:tcW w:w="1256" w:type="dxa"/>
          </w:tcPr>
          <w:p w14:paraId="174D4462" w14:textId="77777777" w:rsidR="00643E01" w:rsidRPr="00643E01" w:rsidRDefault="00643E01" w:rsidP="00C13637">
            <w:pPr>
              <w:pStyle w:val="PCJTable"/>
              <w:rPr>
                <w:vertAlign w:val="superscript"/>
              </w:rPr>
            </w:pPr>
            <w:r w:rsidRPr="00643E01">
              <w:t>0.155±0.249</w:t>
            </w:r>
          </w:p>
        </w:tc>
        <w:tc>
          <w:tcPr>
            <w:tcW w:w="1217" w:type="dxa"/>
            <w:gridSpan w:val="2"/>
          </w:tcPr>
          <w:p w14:paraId="0A4510C9" w14:textId="77777777" w:rsidR="00643E01" w:rsidRPr="00643E01" w:rsidRDefault="00643E01" w:rsidP="00C13637">
            <w:pPr>
              <w:pStyle w:val="PCJTable"/>
            </w:pPr>
            <w:r w:rsidRPr="00643E01">
              <w:t>2.0±1.4</w:t>
            </w:r>
          </w:p>
        </w:tc>
        <w:tc>
          <w:tcPr>
            <w:tcW w:w="1364" w:type="dxa"/>
          </w:tcPr>
          <w:p w14:paraId="16A1B6CE" w14:textId="77777777" w:rsidR="00643E01" w:rsidRPr="00643E01" w:rsidRDefault="00643E01" w:rsidP="00C13637">
            <w:pPr>
              <w:pStyle w:val="PCJTable"/>
            </w:pPr>
            <w:r w:rsidRPr="00643E01">
              <w:t>1.5±1.9</w:t>
            </w:r>
          </w:p>
        </w:tc>
      </w:tr>
      <w:tr w:rsidR="00643E01" w:rsidRPr="00643E01" w14:paraId="3AE401EA" w14:textId="77777777" w:rsidTr="00643E01">
        <w:trPr>
          <w:gridAfter w:val="1"/>
          <w:wAfter w:w="10" w:type="dxa"/>
        </w:trPr>
        <w:tc>
          <w:tcPr>
            <w:tcW w:w="1946" w:type="dxa"/>
            <w:vMerge/>
          </w:tcPr>
          <w:p w14:paraId="63FFFDF5" w14:textId="77777777" w:rsidR="00643E01" w:rsidRPr="00643E01" w:rsidRDefault="00643E01" w:rsidP="00C13637">
            <w:pPr>
              <w:pStyle w:val="PCJTable"/>
            </w:pPr>
          </w:p>
        </w:tc>
        <w:tc>
          <w:tcPr>
            <w:tcW w:w="2209" w:type="dxa"/>
          </w:tcPr>
          <w:p w14:paraId="6EBE8707" w14:textId="77777777" w:rsidR="00643E01" w:rsidRPr="00643E01" w:rsidRDefault="00643E01" w:rsidP="00C13637">
            <w:pPr>
              <w:pStyle w:val="PCJTable"/>
            </w:pPr>
            <w:r w:rsidRPr="00643E01">
              <w:t>N Bulk Dry weigth</w:t>
            </w:r>
          </w:p>
        </w:tc>
        <w:tc>
          <w:tcPr>
            <w:tcW w:w="1396" w:type="dxa"/>
          </w:tcPr>
          <w:p w14:paraId="1E4F0E62" w14:textId="77777777" w:rsidR="00643E01" w:rsidRPr="00643E01" w:rsidRDefault="00643E01" w:rsidP="00C13637">
            <w:pPr>
              <w:pStyle w:val="PCJTable"/>
            </w:pPr>
            <w:r w:rsidRPr="00643E01">
              <w:t>10.3±6.0</w:t>
            </w:r>
          </w:p>
        </w:tc>
        <w:tc>
          <w:tcPr>
            <w:tcW w:w="1256" w:type="dxa"/>
          </w:tcPr>
          <w:p w14:paraId="59E77C5F" w14:textId="77777777" w:rsidR="00643E01" w:rsidRPr="00643E01" w:rsidRDefault="00643E01" w:rsidP="00C13637">
            <w:pPr>
              <w:pStyle w:val="PCJTable"/>
            </w:pPr>
            <w:r w:rsidRPr="00643E01">
              <w:t>27.5±13.4</w:t>
            </w:r>
          </w:p>
        </w:tc>
        <w:tc>
          <w:tcPr>
            <w:tcW w:w="1217" w:type="dxa"/>
            <w:gridSpan w:val="2"/>
          </w:tcPr>
          <w:p w14:paraId="209B4040" w14:textId="77777777" w:rsidR="00643E01" w:rsidRPr="00643E01" w:rsidRDefault="00643E01" w:rsidP="00C13637">
            <w:pPr>
              <w:pStyle w:val="PCJTable"/>
            </w:pPr>
            <w:r w:rsidRPr="00643E01">
              <w:t>9.0±6.4</w:t>
            </w:r>
          </w:p>
        </w:tc>
        <w:tc>
          <w:tcPr>
            <w:tcW w:w="1364" w:type="dxa"/>
          </w:tcPr>
          <w:p w14:paraId="7EFC94C3" w14:textId="77777777" w:rsidR="00643E01" w:rsidRPr="00643E01" w:rsidRDefault="00643E01" w:rsidP="00C13637">
            <w:pPr>
              <w:pStyle w:val="PCJTable"/>
            </w:pPr>
            <w:r w:rsidRPr="00643E01">
              <w:t>12.1±6.4</w:t>
            </w:r>
          </w:p>
        </w:tc>
      </w:tr>
      <w:tr w:rsidR="00643E01" w:rsidRPr="00643E01" w14:paraId="61353C75" w14:textId="77777777" w:rsidTr="00643E01">
        <w:trPr>
          <w:gridAfter w:val="1"/>
          <w:wAfter w:w="10" w:type="dxa"/>
        </w:trPr>
        <w:tc>
          <w:tcPr>
            <w:tcW w:w="1946" w:type="dxa"/>
            <w:vMerge/>
          </w:tcPr>
          <w:p w14:paraId="582A3843" w14:textId="77777777" w:rsidR="00643E01" w:rsidRPr="00643E01" w:rsidRDefault="00643E01" w:rsidP="00C13637">
            <w:pPr>
              <w:pStyle w:val="PCJTable"/>
            </w:pPr>
          </w:p>
        </w:tc>
        <w:tc>
          <w:tcPr>
            <w:tcW w:w="2209" w:type="dxa"/>
          </w:tcPr>
          <w:p w14:paraId="66BD3C67" w14:textId="77777777" w:rsidR="00643E01" w:rsidRPr="00643E01" w:rsidRDefault="00643E01" w:rsidP="00C13637">
            <w:pPr>
              <w:pStyle w:val="PCJTable"/>
            </w:pPr>
            <w:r w:rsidRPr="00643E01">
              <w:t>N Biomass theoretical (16S/bact)</w:t>
            </w:r>
          </w:p>
        </w:tc>
        <w:tc>
          <w:tcPr>
            <w:tcW w:w="1396" w:type="dxa"/>
          </w:tcPr>
          <w:p w14:paraId="04C32200" w14:textId="77777777" w:rsidR="00643E01" w:rsidRPr="00643E01" w:rsidRDefault="00643E01" w:rsidP="00C13637">
            <w:pPr>
              <w:pStyle w:val="PCJTable"/>
            </w:pPr>
            <w:r w:rsidRPr="00643E01">
              <w:t>16.7</w:t>
            </w:r>
          </w:p>
        </w:tc>
        <w:tc>
          <w:tcPr>
            <w:tcW w:w="1256" w:type="dxa"/>
          </w:tcPr>
          <w:p w14:paraId="4CFC00AA" w14:textId="77777777" w:rsidR="00643E01" w:rsidRPr="00643E01" w:rsidRDefault="00643E01" w:rsidP="00C13637">
            <w:pPr>
              <w:pStyle w:val="PCJTable"/>
            </w:pPr>
            <w:r w:rsidRPr="00643E01">
              <w:t>80.4</w:t>
            </w:r>
          </w:p>
        </w:tc>
        <w:tc>
          <w:tcPr>
            <w:tcW w:w="1217" w:type="dxa"/>
            <w:gridSpan w:val="2"/>
          </w:tcPr>
          <w:p w14:paraId="7AB2491B" w14:textId="77777777" w:rsidR="00643E01" w:rsidRPr="00643E01" w:rsidRDefault="00643E01" w:rsidP="00C13637">
            <w:pPr>
              <w:pStyle w:val="PCJTable"/>
            </w:pPr>
            <w:r w:rsidRPr="00643E01">
              <w:t>-3.0</w:t>
            </w:r>
          </w:p>
        </w:tc>
        <w:tc>
          <w:tcPr>
            <w:tcW w:w="1364" w:type="dxa"/>
          </w:tcPr>
          <w:p w14:paraId="24AB785D" w14:textId="77777777" w:rsidR="00643E01" w:rsidRPr="00643E01" w:rsidRDefault="00643E01" w:rsidP="00C13637">
            <w:pPr>
              <w:pStyle w:val="PCJTable"/>
            </w:pPr>
            <w:r w:rsidRPr="00643E01">
              <w:t>-7</w:t>
            </w:r>
          </w:p>
        </w:tc>
      </w:tr>
      <w:tr w:rsidR="00643E01" w:rsidRPr="00643E01" w14:paraId="4E1285AC" w14:textId="77777777" w:rsidTr="00643E01">
        <w:trPr>
          <w:gridAfter w:val="1"/>
          <w:wAfter w:w="10" w:type="dxa"/>
        </w:trPr>
        <w:tc>
          <w:tcPr>
            <w:tcW w:w="1946" w:type="dxa"/>
            <w:vMerge w:val="restart"/>
          </w:tcPr>
          <w:p w14:paraId="525D48F1" w14:textId="77777777" w:rsidR="00643E01" w:rsidRPr="00643E01" w:rsidRDefault="00643E01" w:rsidP="00C13637">
            <w:pPr>
              <w:pStyle w:val="PCJTable"/>
            </w:pPr>
            <w:r w:rsidRPr="00643E01">
              <w:t>Biomass bact/L.j</w:t>
            </w:r>
          </w:p>
        </w:tc>
        <w:tc>
          <w:tcPr>
            <w:tcW w:w="2209" w:type="dxa"/>
          </w:tcPr>
          <w:p w14:paraId="5FC429BA" w14:textId="77777777" w:rsidR="00643E01" w:rsidRPr="00643E01" w:rsidRDefault="00643E01" w:rsidP="00C13637">
            <w:pPr>
              <w:pStyle w:val="PCJTable"/>
            </w:pPr>
            <w:r w:rsidRPr="00643E01">
              <w:t>Bulk</w:t>
            </w:r>
          </w:p>
        </w:tc>
        <w:tc>
          <w:tcPr>
            <w:tcW w:w="1396" w:type="dxa"/>
          </w:tcPr>
          <w:p w14:paraId="0381BF28" w14:textId="77777777" w:rsidR="00643E01" w:rsidRPr="00643E01" w:rsidRDefault="00643E01" w:rsidP="00C13637">
            <w:pPr>
              <w:pStyle w:val="PCJTable"/>
              <w:rPr>
                <w:vertAlign w:val="superscript"/>
              </w:rPr>
            </w:pPr>
            <w:r w:rsidRPr="00643E01">
              <w:t>0.4 ± 0.5 10</w:t>
            </w:r>
            <w:r w:rsidRPr="00643E01">
              <w:rPr>
                <w:vertAlign w:val="superscript"/>
              </w:rPr>
              <w:t>9</w:t>
            </w:r>
          </w:p>
        </w:tc>
        <w:tc>
          <w:tcPr>
            <w:tcW w:w="1256" w:type="dxa"/>
          </w:tcPr>
          <w:p w14:paraId="238F1B4E" w14:textId="77777777" w:rsidR="00643E01" w:rsidRPr="00643E01" w:rsidRDefault="00643E01" w:rsidP="00C13637">
            <w:pPr>
              <w:pStyle w:val="PCJTable"/>
              <w:rPr>
                <w:vertAlign w:val="superscript"/>
              </w:rPr>
            </w:pPr>
            <w:r w:rsidRPr="00643E01">
              <w:t>3.5 ± 2.0 10</w:t>
            </w:r>
            <w:r w:rsidRPr="00643E01">
              <w:rPr>
                <w:vertAlign w:val="superscript"/>
              </w:rPr>
              <w:t>9</w:t>
            </w:r>
          </w:p>
        </w:tc>
        <w:tc>
          <w:tcPr>
            <w:tcW w:w="1217" w:type="dxa"/>
            <w:gridSpan w:val="2"/>
          </w:tcPr>
          <w:p w14:paraId="44173489" w14:textId="77777777" w:rsidR="00643E01" w:rsidRPr="00643E01" w:rsidRDefault="00643E01" w:rsidP="00C13637">
            <w:pPr>
              <w:pStyle w:val="PCJTable"/>
              <w:rPr>
                <w:vertAlign w:val="superscript"/>
              </w:rPr>
            </w:pPr>
            <w:r w:rsidRPr="00643E01">
              <w:t>0.4±0.5 10</w:t>
            </w:r>
            <w:r w:rsidRPr="00643E01">
              <w:rPr>
                <w:vertAlign w:val="superscript"/>
              </w:rPr>
              <w:t>9</w:t>
            </w:r>
          </w:p>
        </w:tc>
        <w:tc>
          <w:tcPr>
            <w:tcW w:w="1364" w:type="dxa"/>
          </w:tcPr>
          <w:p w14:paraId="49474442" w14:textId="77777777" w:rsidR="00643E01" w:rsidRPr="00643E01" w:rsidRDefault="00643E01" w:rsidP="00C13637">
            <w:pPr>
              <w:pStyle w:val="PCJTable"/>
              <w:rPr>
                <w:vertAlign w:val="superscript"/>
              </w:rPr>
            </w:pPr>
            <w:r w:rsidRPr="00643E01">
              <w:t>0.2±0.1 10</w:t>
            </w:r>
            <w:r w:rsidRPr="00643E01">
              <w:rPr>
                <w:vertAlign w:val="superscript"/>
              </w:rPr>
              <w:t>9</w:t>
            </w:r>
          </w:p>
        </w:tc>
      </w:tr>
      <w:tr w:rsidR="00643E01" w:rsidRPr="00643E01" w14:paraId="074D032D" w14:textId="77777777" w:rsidTr="00643E01">
        <w:trPr>
          <w:gridAfter w:val="1"/>
          <w:wAfter w:w="10" w:type="dxa"/>
        </w:trPr>
        <w:tc>
          <w:tcPr>
            <w:tcW w:w="1946" w:type="dxa"/>
            <w:vMerge/>
          </w:tcPr>
          <w:p w14:paraId="379EEE54" w14:textId="77777777" w:rsidR="00643E01" w:rsidRPr="00643E01" w:rsidRDefault="00643E01" w:rsidP="00C13637">
            <w:pPr>
              <w:pStyle w:val="PCJTable"/>
            </w:pPr>
          </w:p>
        </w:tc>
        <w:tc>
          <w:tcPr>
            <w:tcW w:w="2209" w:type="dxa"/>
          </w:tcPr>
          <w:p w14:paraId="6729D3FF" w14:textId="77777777" w:rsidR="00643E01" w:rsidRPr="00643E01" w:rsidRDefault="00643E01" w:rsidP="00C13637">
            <w:pPr>
              <w:pStyle w:val="PCJTable"/>
            </w:pPr>
            <w:r w:rsidRPr="00643E01">
              <w:t>Cathode</w:t>
            </w:r>
          </w:p>
        </w:tc>
        <w:tc>
          <w:tcPr>
            <w:tcW w:w="1396" w:type="dxa"/>
          </w:tcPr>
          <w:p w14:paraId="4AB6C26A" w14:textId="77777777" w:rsidR="00643E01" w:rsidRPr="00643E01" w:rsidRDefault="00643E01" w:rsidP="00C13637">
            <w:pPr>
              <w:pStyle w:val="PCJTable"/>
            </w:pPr>
            <w:r w:rsidRPr="00643E01">
              <w:t>0.9 10</w:t>
            </w:r>
            <w:r w:rsidRPr="00643E01">
              <w:rPr>
                <w:vertAlign w:val="superscript"/>
              </w:rPr>
              <w:t>10</w:t>
            </w:r>
          </w:p>
        </w:tc>
        <w:tc>
          <w:tcPr>
            <w:tcW w:w="1256" w:type="dxa"/>
          </w:tcPr>
          <w:p w14:paraId="604D421C" w14:textId="77777777" w:rsidR="00643E01" w:rsidRPr="00643E01" w:rsidRDefault="00643E01" w:rsidP="00C13637">
            <w:pPr>
              <w:pStyle w:val="PCJTable"/>
            </w:pPr>
            <w:r w:rsidRPr="00643E01">
              <w:t>4.6 10</w:t>
            </w:r>
            <w:r w:rsidRPr="00643E01">
              <w:rPr>
                <w:vertAlign w:val="superscript"/>
              </w:rPr>
              <w:t>10</w:t>
            </w:r>
          </w:p>
        </w:tc>
        <w:tc>
          <w:tcPr>
            <w:tcW w:w="1217" w:type="dxa"/>
            <w:gridSpan w:val="2"/>
          </w:tcPr>
          <w:p w14:paraId="0EEE11B4" w14:textId="77777777" w:rsidR="00643E01" w:rsidRPr="00643E01" w:rsidRDefault="00643E01" w:rsidP="00C13637">
            <w:pPr>
              <w:pStyle w:val="PCJTable"/>
            </w:pPr>
            <w:r w:rsidRPr="00643E01">
              <w:t>-2.6±3.5 10</w:t>
            </w:r>
            <w:r w:rsidRPr="00643E01">
              <w:rPr>
                <w:vertAlign w:val="superscript"/>
              </w:rPr>
              <w:t>10</w:t>
            </w:r>
          </w:p>
        </w:tc>
        <w:tc>
          <w:tcPr>
            <w:tcW w:w="1364" w:type="dxa"/>
          </w:tcPr>
          <w:p w14:paraId="5E29DE96" w14:textId="77777777" w:rsidR="00643E01" w:rsidRPr="00643E01" w:rsidRDefault="00643E01" w:rsidP="00C13637">
            <w:pPr>
              <w:pStyle w:val="PCJTable"/>
              <w:rPr>
                <w:vertAlign w:val="superscript"/>
              </w:rPr>
            </w:pPr>
            <w:r w:rsidRPr="00643E01">
              <w:t>-5.9±7.8 10</w:t>
            </w:r>
            <w:r w:rsidRPr="00643E01">
              <w:rPr>
                <w:vertAlign w:val="superscript"/>
              </w:rPr>
              <w:t>10</w:t>
            </w:r>
          </w:p>
        </w:tc>
      </w:tr>
      <w:tr w:rsidR="00643E01" w:rsidRPr="00643E01" w14:paraId="0957284E" w14:textId="77777777" w:rsidTr="00643E01">
        <w:trPr>
          <w:gridAfter w:val="1"/>
          <w:wAfter w:w="10" w:type="dxa"/>
        </w:trPr>
        <w:tc>
          <w:tcPr>
            <w:tcW w:w="1946" w:type="dxa"/>
            <w:vMerge w:val="restart"/>
          </w:tcPr>
          <w:p w14:paraId="307F914B" w14:textId="77777777" w:rsidR="00643E01" w:rsidRPr="00643E01" w:rsidRDefault="00643E01" w:rsidP="00C13637">
            <w:pPr>
              <w:pStyle w:val="PCJTable"/>
            </w:pPr>
            <w:r w:rsidRPr="00643E01">
              <w:t>Coulombic efficiency %</w:t>
            </w:r>
          </w:p>
        </w:tc>
        <w:tc>
          <w:tcPr>
            <w:tcW w:w="2209" w:type="dxa"/>
          </w:tcPr>
          <w:p w14:paraId="28F5A9B6" w14:textId="77777777" w:rsidR="00643E01" w:rsidRPr="00643E01" w:rsidRDefault="00643E01" w:rsidP="00C13637">
            <w:pPr>
              <w:pStyle w:val="PCJTable"/>
            </w:pPr>
            <w:r w:rsidRPr="00643E01">
              <w:t>CO</w:t>
            </w:r>
            <w:r w:rsidRPr="00643E01">
              <w:rPr>
                <w:vertAlign w:val="subscript"/>
              </w:rPr>
              <w:t>2</w:t>
            </w:r>
            <w:r w:rsidRPr="00643E01">
              <w:t xml:space="preserve"> to Acetate</w:t>
            </w:r>
          </w:p>
        </w:tc>
        <w:tc>
          <w:tcPr>
            <w:tcW w:w="1396" w:type="dxa"/>
          </w:tcPr>
          <w:p w14:paraId="737C7F2F" w14:textId="77777777" w:rsidR="00643E01" w:rsidRPr="00643E01" w:rsidRDefault="00643E01" w:rsidP="00C13637">
            <w:pPr>
              <w:pStyle w:val="PCJTable"/>
            </w:pPr>
            <w:r w:rsidRPr="00643E01">
              <w:t>7.9±9.5</w:t>
            </w:r>
          </w:p>
          <w:p w14:paraId="0A2826A3" w14:textId="77777777" w:rsidR="00643E01" w:rsidRPr="00643E01" w:rsidRDefault="00643E01" w:rsidP="00C13637">
            <w:pPr>
              <w:pStyle w:val="PCJTable"/>
            </w:pPr>
          </w:p>
        </w:tc>
        <w:tc>
          <w:tcPr>
            <w:tcW w:w="1256" w:type="dxa"/>
          </w:tcPr>
          <w:p w14:paraId="415EF8BB" w14:textId="77777777" w:rsidR="00643E01" w:rsidRPr="00643E01" w:rsidRDefault="00643E01" w:rsidP="00C13637">
            <w:pPr>
              <w:pStyle w:val="PCJTable"/>
            </w:pPr>
            <w:r w:rsidRPr="00643E01">
              <w:t>30.9±8.9</w:t>
            </w:r>
          </w:p>
        </w:tc>
        <w:tc>
          <w:tcPr>
            <w:tcW w:w="1217" w:type="dxa"/>
            <w:gridSpan w:val="2"/>
          </w:tcPr>
          <w:p w14:paraId="7378FCA4" w14:textId="77777777" w:rsidR="00643E01" w:rsidRPr="00643E01" w:rsidRDefault="00643E01" w:rsidP="00C13637">
            <w:pPr>
              <w:pStyle w:val="PCJTable"/>
            </w:pPr>
            <w:r w:rsidRPr="00643E01">
              <w:t>2.1±5.6</w:t>
            </w:r>
          </w:p>
        </w:tc>
        <w:tc>
          <w:tcPr>
            <w:tcW w:w="1364" w:type="dxa"/>
          </w:tcPr>
          <w:p w14:paraId="03811033" w14:textId="77777777" w:rsidR="00643E01" w:rsidRPr="00643E01" w:rsidRDefault="00643E01" w:rsidP="00C13637">
            <w:pPr>
              <w:pStyle w:val="PCJTable"/>
            </w:pPr>
            <w:r w:rsidRPr="00643E01">
              <w:t>5.0±6.6</w:t>
            </w:r>
          </w:p>
        </w:tc>
      </w:tr>
      <w:tr w:rsidR="00643E01" w:rsidRPr="00643E01" w14:paraId="08CE9F28" w14:textId="77777777" w:rsidTr="00643E01">
        <w:trPr>
          <w:gridAfter w:val="1"/>
          <w:wAfter w:w="10" w:type="dxa"/>
        </w:trPr>
        <w:tc>
          <w:tcPr>
            <w:tcW w:w="1946" w:type="dxa"/>
            <w:vMerge/>
          </w:tcPr>
          <w:p w14:paraId="6FB1FF84" w14:textId="77777777" w:rsidR="00643E01" w:rsidRPr="00643E01" w:rsidRDefault="00643E01" w:rsidP="00C13637">
            <w:pPr>
              <w:pStyle w:val="PCJTable"/>
            </w:pPr>
          </w:p>
        </w:tc>
        <w:tc>
          <w:tcPr>
            <w:tcW w:w="2209" w:type="dxa"/>
          </w:tcPr>
          <w:p w14:paraId="1AA45A39" w14:textId="77777777" w:rsidR="00643E01" w:rsidRPr="00643E01" w:rsidRDefault="00643E01" w:rsidP="00C13637">
            <w:pPr>
              <w:pStyle w:val="PCJTable"/>
            </w:pPr>
            <w:r w:rsidRPr="00643E01">
              <w:t>H</w:t>
            </w:r>
            <w:r w:rsidRPr="00643E01">
              <w:rPr>
                <w:vertAlign w:val="superscript"/>
              </w:rPr>
              <w:t>+</w:t>
            </w:r>
            <w:r w:rsidRPr="00643E01">
              <w:t xml:space="preserve"> to H</w:t>
            </w:r>
            <w:r w:rsidRPr="00643E01">
              <w:rPr>
                <w:vertAlign w:val="subscript"/>
              </w:rPr>
              <w:t>2</w:t>
            </w:r>
          </w:p>
        </w:tc>
        <w:tc>
          <w:tcPr>
            <w:tcW w:w="1396" w:type="dxa"/>
          </w:tcPr>
          <w:p w14:paraId="2E260C82" w14:textId="77777777" w:rsidR="00643E01" w:rsidRPr="00643E01" w:rsidRDefault="00643E01" w:rsidP="00C13637">
            <w:pPr>
              <w:pStyle w:val="PCJTable"/>
            </w:pPr>
            <w:r w:rsidRPr="00643E01">
              <w:t>22.3±15.4</w:t>
            </w:r>
          </w:p>
          <w:p w14:paraId="04BA9BDD" w14:textId="77777777" w:rsidR="00643E01" w:rsidRPr="00643E01" w:rsidRDefault="00643E01" w:rsidP="00C13637">
            <w:pPr>
              <w:pStyle w:val="PCJTable"/>
            </w:pPr>
          </w:p>
        </w:tc>
        <w:tc>
          <w:tcPr>
            <w:tcW w:w="1256" w:type="dxa"/>
          </w:tcPr>
          <w:p w14:paraId="05FA2F73" w14:textId="77777777" w:rsidR="00643E01" w:rsidRPr="00643E01" w:rsidRDefault="00643E01" w:rsidP="00C13637">
            <w:pPr>
              <w:pStyle w:val="PCJTable"/>
            </w:pPr>
            <w:r w:rsidRPr="00643E01">
              <w:t>12.1±8.8</w:t>
            </w:r>
          </w:p>
        </w:tc>
        <w:tc>
          <w:tcPr>
            <w:tcW w:w="1217" w:type="dxa"/>
            <w:gridSpan w:val="2"/>
          </w:tcPr>
          <w:p w14:paraId="69FB1129" w14:textId="77777777" w:rsidR="00643E01" w:rsidRPr="00643E01" w:rsidRDefault="00643E01" w:rsidP="00C13637">
            <w:pPr>
              <w:pStyle w:val="PCJTable"/>
            </w:pPr>
            <w:r w:rsidRPr="00643E01">
              <w:t>9.4±13.5</w:t>
            </w:r>
          </w:p>
        </w:tc>
        <w:tc>
          <w:tcPr>
            <w:tcW w:w="1364" w:type="dxa"/>
          </w:tcPr>
          <w:p w14:paraId="5FCE4F8C" w14:textId="77777777" w:rsidR="00643E01" w:rsidRPr="00643E01" w:rsidRDefault="00643E01" w:rsidP="00C13637">
            <w:pPr>
              <w:pStyle w:val="PCJTable"/>
            </w:pPr>
            <w:r w:rsidRPr="00643E01">
              <w:t>14.4±14.4</w:t>
            </w:r>
          </w:p>
        </w:tc>
      </w:tr>
      <w:tr w:rsidR="00643E01" w:rsidRPr="00643E01" w14:paraId="6F09A09B" w14:textId="77777777" w:rsidTr="00643E01">
        <w:trPr>
          <w:gridAfter w:val="1"/>
          <w:wAfter w:w="10" w:type="dxa"/>
        </w:trPr>
        <w:tc>
          <w:tcPr>
            <w:tcW w:w="1946" w:type="dxa"/>
            <w:vMerge/>
          </w:tcPr>
          <w:p w14:paraId="79BC6738" w14:textId="77777777" w:rsidR="00643E01" w:rsidRPr="00643E01" w:rsidRDefault="00643E01" w:rsidP="00C13637">
            <w:pPr>
              <w:pStyle w:val="PCJTable"/>
            </w:pPr>
          </w:p>
        </w:tc>
        <w:tc>
          <w:tcPr>
            <w:tcW w:w="2209" w:type="dxa"/>
          </w:tcPr>
          <w:p w14:paraId="4BD0B732" w14:textId="77777777" w:rsidR="00643E01" w:rsidRPr="00643E01" w:rsidRDefault="00643E01" w:rsidP="00C13637">
            <w:pPr>
              <w:pStyle w:val="PCJTable"/>
            </w:pPr>
            <w:r w:rsidRPr="00643E01">
              <w:t>N</w:t>
            </w:r>
            <w:r w:rsidRPr="00643E01">
              <w:rPr>
                <w:vertAlign w:val="subscript"/>
              </w:rPr>
              <w:t>2</w:t>
            </w:r>
            <w:r w:rsidRPr="00643E01">
              <w:t xml:space="preserve"> fixation</w:t>
            </w:r>
          </w:p>
        </w:tc>
        <w:tc>
          <w:tcPr>
            <w:tcW w:w="1396" w:type="dxa"/>
          </w:tcPr>
          <w:p w14:paraId="2110C9B7" w14:textId="77777777" w:rsidR="00643E01" w:rsidRPr="00643E01" w:rsidRDefault="00643E01" w:rsidP="00C13637">
            <w:pPr>
              <w:pStyle w:val="PCJTable"/>
            </w:pPr>
            <w:r w:rsidRPr="00643E01">
              <w:t>0.6±0.2</w:t>
            </w:r>
          </w:p>
          <w:p w14:paraId="1C172F13" w14:textId="77777777" w:rsidR="00643E01" w:rsidRPr="00643E01" w:rsidRDefault="00643E01" w:rsidP="00C13637">
            <w:pPr>
              <w:pStyle w:val="PCJTable"/>
            </w:pPr>
          </w:p>
        </w:tc>
        <w:tc>
          <w:tcPr>
            <w:tcW w:w="1256" w:type="dxa"/>
          </w:tcPr>
          <w:p w14:paraId="4075AB38" w14:textId="77777777" w:rsidR="00643E01" w:rsidRPr="00643E01" w:rsidRDefault="00643E01" w:rsidP="00C13637">
            <w:pPr>
              <w:pStyle w:val="PCJTable"/>
            </w:pPr>
            <w:r w:rsidRPr="00643E01">
              <w:t>3.3±0.8</w:t>
            </w:r>
          </w:p>
        </w:tc>
        <w:tc>
          <w:tcPr>
            <w:tcW w:w="1217" w:type="dxa"/>
            <w:gridSpan w:val="2"/>
          </w:tcPr>
          <w:p w14:paraId="7D364979" w14:textId="77777777" w:rsidR="00643E01" w:rsidRPr="00643E01" w:rsidRDefault="00643E01" w:rsidP="00C13637">
            <w:pPr>
              <w:pStyle w:val="PCJTable"/>
            </w:pPr>
            <w:r w:rsidRPr="00643E01">
              <w:t>0.2±1.0</w:t>
            </w:r>
          </w:p>
        </w:tc>
        <w:tc>
          <w:tcPr>
            <w:tcW w:w="1364" w:type="dxa"/>
          </w:tcPr>
          <w:p w14:paraId="26ADA7C3" w14:textId="77777777" w:rsidR="00643E01" w:rsidRPr="00643E01" w:rsidRDefault="00643E01" w:rsidP="00C13637">
            <w:pPr>
              <w:pStyle w:val="PCJTable"/>
            </w:pPr>
            <w:r w:rsidRPr="00643E01">
              <w:t>-0.5±2.2</w:t>
            </w:r>
          </w:p>
        </w:tc>
      </w:tr>
      <w:tr w:rsidR="00643E01" w:rsidRPr="00643E01" w14:paraId="1552C459" w14:textId="77777777" w:rsidTr="00643E01">
        <w:trPr>
          <w:gridAfter w:val="1"/>
          <w:wAfter w:w="10" w:type="dxa"/>
        </w:trPr>
        <w:tc>
          <w:tcPr>
            <w:tcW w:w="1946" w:type="dxa"/>
            <w:vMerge/>
          </w:tcPr>
          <w:p w14:paraId="5F63400F" w14:textId="77777777" w:rsidR="00643E01" w:rsidRPr="00643E01" w:rsidRDefault="00643E01" w:rsidP="00C13637">
            <w:pPr>
              <w:pStyle w:val="PCJTable"/>
            </w:pPr>
          </w:p>
        </w:tc>
        <w:tc>
          <w:tcPr>
            <w:tcW w:w="2209" w:type="dxa"/>
          </w:tcPr>
          <w:p w14:paraId="7D9D730F" w14:textId="77777777" w:rsidR="00643E01" w:rsidRPr="00643E01" w:rsidRDefault="00643E01" w:rsidP="00C13637">
            <w:pPr>
              <w:pStyle w:val="PCJTable"/>
            </w:pPr>
            <w:r w:rsidRPr="00643E01">
              <w:t>Biomass growth</w:t>
            </w:r>
          </w:p>
        </w:tc>
        <w:tc>
          <w:tcPr>
            <w:tcW w:w="1396" w:type="dxa"/>
          </w:tcPr>
          <w:p w14:paraId="1C541112" w14:textId="77777777" w:rsidR="00643E01" w:rsidRPr="00643E01" w:rsidRDefault="00643E01" w:rsidP="00C13637">
            <w:pPr>
              <w:pStyle w:val="PCJTable"/>
            </w:pPr>
            <w:r w:rsidRPr="00643E01">
              <w:t>2.8±0.5</w:t>
            </w:r>
          </w:p>
        </w:tc>
        <w:tc>
          <w:tcPr>
            <w:tcW w:w="1256" w:type="dxa"/>
          </w:tcPr>
          <w:p w14:paraId="601F9483" w14:textId="77777777" w:rsidR="00643E01" w:rsidRPr="00643E01" w:rsidRDefault="00643E01" w:rsidP="00C13637">
            <w:pPr>
              <w:pStyle w:val="PCJTable"/>
            </w:pPr>
            <w:r w:rsidRPr="00643E01">
              <w:t>17.3±5.3</w:t>
            </w:r>
          </w:p>
          <w:p w14:paraId="36914F8A" w14:textId="77777777" w:rsidR="00643E01" w:rsidRPr="00643E01" w:rsidRDefault="00643E01" w:rsidP="00C13637">
            <w:pPr>
              <w:pStyle w:val="PCJTable"/>
            </w:pPr>
          </w:p>
        </w:tc>
        <w:tc>
          <w:tcPr>
            <w:tcW w:w="1217" w:type="dxa"/>
            <w:gridSpan w:val="2"/>
          </w:tcPr>
          <w:p w14:paraId="7FA534D3" w14:textId="77777777" w:rsidR="00643E01" w:rsidRPr="00643E01" w:rsidRDefault="00643E01" w:rsidP="00C13637">
            <w:pPr>
              <w:pStyle w:val="PCJTable"/>
            </w:pPr>
            <w:r w:rsidRPr="00643E01">
              <w:t>-2.5±4.0</w:t>
            </w:r>
          </w:p>
        </w:tc>
        <w:tc>
          <w:tcPr>
            <w:tcW w:w="1364" w:type="dxa"/>
          </w:tcPr>
          <w:p w14:paraId="7FE87EBB" w14:textId="77777777" w:rsidR="00643E01" w:rsidRPr="00643E01" w:rsidRDefault="00643E01" w:rsidP="00C13637">
            <w:pPr>
              <w:pStyle w:val="PCJTable"/>
            </w:pPr>
            <w:r w:rsidRPr="00643E01">
              <w:t>-8.3±14.2</w:t>
            </w:r>
          </w:p>
        </w:tc>
      </w:tr>
      <w:tr w:rsidR="00643E01" w:rsidRPr="00643E01" w14:paraId="4DD80062" w14:textId="77777777" w:rsidTr="00643E01">
        <w:trPr>
          <w:gridAfter w:val="1"/>
          <w:wAfter w:w="10" w:type="dxa"/>
        </w:trPr>
        <w:tc>
          <w:tcPr>
            <w:tcW w:w="1946" w:type="dxa"/>
            <w:vMerge/>
          </w:tcPr>
          <w:p w14:paraId="234339EA" w14:textId="77777777" w:rsidR="00643E01" w:rsidRPr="00643E01" w:rsidRDefault="00643E01" w:rsidP="00C13637">
            <w:pPr>
              <w:pStyle w:val="PCJTable"/>
            </w:pPr>
          </w:p>
        </w:tc>
        <w:tc>
          <w:tcPr>
            <w:tcW w:w="2209" w:type="dxa"/>
          </w:tcPr>
          <w:p w14:paraId="65118698" w14:textId="77777777" w:rsidR="00643E01" w:rsidRPr="00643E01" w:rsidRDefault="00643E01" w:rsidP="00C13637">
            <w:pPr>
              <w:pStyle w:val="PCJTable"/>
            </w:pPr>
            <w:r w:rsidRPr="00643E01">
              <w:t>Total</w:t>
            </w:r>
          </w:p>
        </w:tc>
        <w:tc>
          <w:tcPr>
            <w:tcW w:w="1396" w:type="dxa"/>
          </w:tcPr>
          <w:p w14:paraId="6C656516" w14:textId="77777777" w:rsidR="00643E01" w:rsidRPr="00643E01" w:rsidRDefault="00643E01" w:rsidP="00C13637">
            <w:pPr>
              <w:pStyle w:val="PCJTable"/>
            </w:pPr>
            <w:r w:rsidRPr="00643E01">
              <w:t>33.6±14.4</w:t>
            </w:r>
          </w:p>
          <w:p w14:paraId="08E3DE1A" w14:textId="77777777" w:rsidR="00643E01" w:rsidRPr="00643E01" w:rsidRDefault="00643E01" w:rsidP="00C13637">
            <w:pPr>
              <w:pStyle w:val="PCJTable"/>
            </w:pPr>
          </w:p>
        </w:tc>
        <w:tc>
          <w:tcPr>
            <w:tcW w:w="1256" w:type="dxa"/>
          </w:tcPr>
          <w:p w14:paraId="28CC4E82" w14:textId="77777777" w:rsidR="00643E01" w:rsidRPr="00643E01" w:rsidRDefault="00643E01" w:rsidP="00C13637">
            <w:pPr>
              <w:pStyle w:val="PCJTable"/>
            </w:pPr>
            <w:r w:rsidRPr="00643E01">
              <w:t>63.6±9.0</w:t>
            </w:r>
          </w:p>
        </w:tc>
        <w:tc>
          <w:tcPr>
            <w:tcW w:w="1217" w:type="dxa"/>
            <w:gridSpan w:val="2"/>
          </w:tcPr>
          <w:p w14:paraId="40EC9A82" w14:textId="77777777" w:rsidR="00643E01" w:rsidRPr="00643E01" w:rsidRDefault="00643E01" w:rsidP="00C13637">
            <w:pPr>
              <w:pStyle w:val="PCJTable"/>
            </w:pPr>
            <w:r w:rsidRPr="00643E01">
              <w:t>9.2±16.5</w:t>
            </w:r>
          </w:p>
        </w:tc>
        <w:tc>
          <w:tcPr>
            <w:tcW w:w="1364" w:type="dxa"/>
          </w:tcPr>
          <w:p w14:paraId="4FF0396E" w14:textId="77777777" w:rsidR="00643E01" w:rsidRPr="00643E01" w:rsidRDefault="00643E01" w:rsidP="00C13637">
            <w:pPr>
              <w:pStyle w:val="PCJTable"/>
            </w:pPr>
            <w:r w:rsidRPr="00643E01">
              <w:t>10.5±18.8</w:t>
            </w:r>
          </w:p>
        </w:tc>
      </w:tr>
    </w:tbl>
    <w:p w14:paraId="72939E1E" w14:textId="65674DD8" w:rsidR="00643E01" w:rsidRPr="00BE6B8E" w:rsidRDefault="00643E01" w:rsidP="00456C92">
      <w:pPr>
        <w:pStyle w:val="PCJtext"/>
      </w:pPr>
    </w:p>
    <w:p w14:paraId="472237AD" w14:textId="64341976" w:rsidR="00BE6B8E" w:rsidRPr="00C13637" w:rsidRDefault="0099333F" w:rsidP="00C13637">
      <w:pPr>
        <w:pStyle w:val="PCJtext"/>
      </w:pPr>
      <w:r w:rsidRPr="00C13637">
        <w:rPr>
          <w:rFonts w:eastAsia="Calibri"/>
          <w:highlight w:val="yellow"/>
        </w:rPr>
        <w:lastRenderedPageBreak/>
        <w:t>In comparison with the other works dealing with N</w:t>
      </w:r>
      <w:r w:rsidRPr="00C13637">
        <w:rPr>
          <w:rFonts w:eastAsia="Calibri"/>
          <w:highlight w:val="yellow"/>
          <w:vertAlign w:val="subscript"/>
        </w:rPr>
        <w:t>2</w:t>
      </w:r>
      <w:r w:rsidR="006B19F5" w:rsidRPr="00C13637">
        <w:rPr>
          <w:rFonts w:eastAsia="Calibri"/>
          <w:highlight w:val="yellow"/>
        </w:rPr>
        <w:t>-</w:t>
      </w:r>
      <w:r w:rsidRPr="00C13637">
        <w:rPr>
          <w:rFonts w:eastAsia="Calibri"/>
          <w:highlight w:val="yellow"/>
        </w:rPr>
        <w:t>fixing cathodic biofilms, Zhang et al (2022) showed a maximum of 40.5 mg/L of NH</w:t>
      </w:r>
      <w:r w:rsidRPr="00C13637">
        <w:rPr>
          <w:rFonts w:eastAsia="Calibri"/>
          <w:highlight w:val="yellow"/>
          <w:vertAlign w:val="subscript"/>
        </w:rPr>
        <w:t>4</w:t>
      </w:r>
      <w:r w:rsidRPr="00C13637">
        <w:rPr>
          <w:rFonts w:eastAsia="Calibri"/>
          <w:highlight w:val="yellow"/>
          <w:vertAlign w:val="superscript"/>
        </w:rPr>
        <w:t>+</w:t>
      </w:r>
      <w:r w:rsidRPr="00C13637">
        <w:rPr>
          <w:rFonts w:eastAsia="Calibri"/>
          <w:highlight w:val="yellow"/>
        </w:rPr>
        <w:t xml:space="preserve"> in 4 days with mixed communities, in regard to a maximum of 0.8 mg/L NH</w:t>
      </w:r>
      <w:r w:rsidRPr="00C13637">
        <w:rPr>
          <w:rFonts w:eastAsia="Calibri"/>
          <w:highlight w:val="yellow"/>
          <w:vertAlign w:val="subscript"/>
        </w:rPr>
        <w:t>4</w:t>
      </w:r>
      <w:r w:rsidRPr="00C13637">
        <w:rPr>
          <w:rFonts w:eastAsia="Calibri"/>
          <w:highlight w:val="yellow"/>
          <w:vertAlign w:val="superscript"/>
        </w:rPr>
        <w:t>+</w:t>
      </w:r>
      <w:r w:rsidRPr="00C13637">
        <w:rPr>
          <w:rFonts w:eastAsia="Calibri"/>
          <w:highlight w:val="yellow"/>
        </w:rPr>
        <w:t xml:space="preserve"> observed in Yadav et al </w:t>
      </w:r>
      <w:r w:rsidRPr="00C13637">
        <w:rPr>
          <w:rFonts w:eastAsia="Calibri"/>
          <w:highlight w:val="yellow"/>
        </w:rPr>
        <w:fldChar w:fldCharType="begin"/>
      </w:r>
      <w:r w:rsidR="00402127">
        <w:rPr>
          <w:rFonts w:eastAsia="Calibri"/>
          <w:highlight w:val="yellow"/>
        </w:rPr>
        <w:instrText xml:space="preserve"> ADDIN ZOTERO_ITEM CSL_CITATION {"citationID":"zvJmxImZ","properties":{"formattedCitation":"(Yadav et al., 2022)","plainCitation":"(Yadav et al., 2022)","dontUpdate":true,"noteIndex":0},"citationItems":[{"id":465,"uris":["http://zotero.org/users/local/ahqjqVuV/items/8UI95P4Z"],"itemData":{"id":465,"type":"article-journal","abstract":"Microbial electrosynthesis (MES) is an emerging technology with the potential to reduce carbon emissions by converting CO2 and renewable power into chemicals. Here, MES of acetate using gaseous N2 as a nitrogen source is investigated as an approach to substitute fixed nitrogen (ammonia) in the process. At an applied cathode potential of − 0.995 V vs. SHE, the mixed microbial community with a few known N2 and CO2 fixing microorganisms produced 463.5 ± 14 mg/l acetate using gaseous N2 and CO2 feedstock along with traces of ammonia (0.80 ± 0.06 mg/l) confirming the simultaneous fixation of these gases. Up to 85%, 0.5%, and 4.9% electrons were recovered in acetate, ammonia, and biomass, respectively, with a maximum of 39% energetic efficiency. A preliminary analysis suggested the possibility of bringing down a considerable amount of CO2 from going into the environment both by fixing CO2 into acetate and avoiding the use of fixed ammonia, the production of which is associated with the CO2 emissions. Thus, the demonstrated process circumvents the conventional fixed nitrogen (ammonia) usage in MES while still being able to produce considerable acetate from CO2.","container-title":"Journal of CO2 Utilization","DOI":"10.1016/j.jcou.2022.101997","ISSN":"2212-9820","journalAbbreviation":"Journal of CO2 Utilization","language":"en","page":"101997","source":"ScienceDirect","title":"Electricity-driven bioproduction from CO2 and N2 feedstocks using enriched mixed microbial culture","volume":"60","author":[{"family":"Yadav","given":"Ravineet"},{"family":"Chiranjeevi","given":"P."},{"family":"Yadav","given":"Sukrampal"},{"family":"Singh","given":"Ramandeep"},{"family":"Patil","given":"Sunil A."}],"issued":{"date-parts":[["2022",6,1]]}}}],"schema":"https://github.com/citation-style-language/schema/raw/master/csl-citation.json"} </w:instrText>
      </w:r>
      <w:r w:rsidRPr="00C13637">
        <w:rPr>
          <w:rFonts w:eastAsia="Calibri"/>
          <w:highlight w:val="yellow"/>
        </w:rPr>
        <w:fldChar w:fldCharType="separate"/>
      </w:r>
      <w:r w:rsidRPr="00C13637">
        <w:rPr>
          <w:rFonts w:eastAsia="Calibri"/>
          <w:highlight w:val="yellow"/>
        </w:rPr>
        <w:t>(2022)</w:t>
      </w:r>
      <w:r w:rsidRPr="00C13637">
        <w:rPr>
          <w:rFonts w:eastAsia="Calibri"/>
          <w:highlight w:val="yellow"/>
        </w:rPr>
        <w:fldChar w:fldCharType="end"/>
      </w:r>
      <w:r w:rsidRPr="00C13637">
        <w:rPr>
          <w:rFonts w:eastAsia="Calibri"/>
          <w:highlight w:val="yellow"/>
        </w:rPr>
        <w:t xml:space="preserve"> and 6.31 mg/L NH</w:t>
      </w:r>
      <w:r w:rsidRPr="00C13637">
        <w:rPr>
          <w:rFonts w:eastAsia="Calibri"/>
          <w:highlight w:val="yellow"/>
          <w:vertAlign w:val="subscript"/>
        </w:rPr>
        <w:t>4</w:t>
      </w:r>
      <w:r w:rsidRPr="00C13637">
        <w:rPr>
          <w:rFonts w:eastAsia="Calibri"/>
          <w:highlight w:val="yellow"/>
          <w:vertAlign w:val="superscript"/>
        </w:rPr>
        <w:t>+</w:t>
      </w:r>
      <w:r w:rsidRPr="00C13637">
        <w:rPr>
          <w:rFonts w:eastAsia="Calibri"/>
          <w:highlight w:val="yellow"/>
        </w:rPr>
        <w:t xml:space="preserve"> in 10 days for Li et al. </w:t>
      </w:r>
      <w:r w:rsidRPr="00C13637">
        <w:rPr>
          <w:rFonts w:eastAsia="Calibri"/>
          <w:highlight w:val="yellow"/>
        </w:rPr>
        <w:fldChar w:fldCharType="begin"/>
      </w:r>
      <w:r w:rsidR="00402127">
        <w:rPr>
          <w:rFonts w:eastAsia="Calibri"/>
          <w:highlight w:val="yellow"/>
        </w:rPr>
        <w:instrText xml:space="preserve"> ADDIN ZOTERO_ITEM CSL_CITATION {"citationID":"f5KDKsXp","properties":{"formattedCitation":"(Li et al., 2022; Yadav et al., 2022; Zhang et al., 2022)","plainCitation":"(Li et al., 2022; Yadav et al., 2022; Zhang et al., 2022)","noteIndex":0},"citationItems":[{"id":852,"uris":["http://zotero.org/users/local/ahqjqVuV/items/4LYEGE4V"],"itemData":{"id":852,"type":"article-journal","abstract":"Background Nowadays, microbial electrochemistry is widely used to produce valuable products (CH4, CH3CH2OH, CH3COOH, etc.) from carbon dioxide. Meanwhile, given that low-value nitrogen (N2) is abundantly available as a feedstock for chemicals, thus ammonia (NH3) synthesis using bioelectrochemistry is still a promising technology. However, considering N2 stability and ammonium (NH4+) adsorption with a proton exchange membrane, developing suitable microbial systems for NH3 synthesis still faces challenges. Based on this, we developed a single-chamber biocathode bioelectrochemical system for efficient NH3 production. Results For the reaction system that we constructed, NH4+ production reached 6.31 mg L−1 within 10 days, and NH4+ production was positively correlated with current density. A C2H2 reduction assay further verified the activity of nitrogenase enzyme. Microbial community analysis revealed that Clostridia plays a crucial role in the N2 fixation process, and the synergistic interaction between different microorganisms favors electron transfer and an increase in NH3 production. Conclusions The results of a series of experiments have proved that this green and economical method can be used to efficiently generate NH4+. This reaction system not only utilizes the advantages of obtaining electrons for reduction reaction, but also improves electron transfer and avoids the shortcomings of NH4+ adsorption. Additionally, this in-depth study of N2 fixation mechanism provides a theoretical reference for other applications of bioelectrochemical systems. © 2022 Society of Chemical Industry (SCI).","container-title":"Journal of Chemical Technology &amp; Biotechnology","DOI":"10.1002/jctb.7092","ISSN":"1097-4660","issue":"8","language":"en","note":"_eprint: https://onlinelibrary.wiley.com/doi/pdf/10.1002/jctb.7092","page":"2163-2170","source":"Wiley Online Library","title":"Investigating the performance and mechanism of nitrogen gas fixation and conversion to ammonia based on biocathode bioelectrochemistry system","volume":"97","author":[{"family":"Li","given":"Fang-fang"},{"family":"Li","given":"Fei-fei"},{"family":"Lin","given":"Yu"},{"family":"Guo","given":"Li-jun"},{"family":"Zhang","given":"Lu-lu"},{"family":"Li","given":"Rui"},{"family":"Tian","given":"Qi-yuan"},{"family":"Wang","given":"Yun-fang"},{"family":"Wang","given":"Ya-wen"},{"family":"Zhang","given":"Xiao-chao"},{"family":"Liu","given":"Jian-xin"},{"family":"Fan","given":"Cai-mei"}],"issued":{"date-parts":[["2022"]]}},"label":"page"},{"id":465,"uris":["http://zotero.org/users/local/ahqjqVuV/items/8UI95P4Z"],"itemData":{"id":465,"type":"article-journal","abstract":"Microbial electrosynthesis (MES) is an emerging technology with the potential to reduce carbon emissions by converting CO2 and renewable power into chemicals. Here, MES of acetate using gaseous N2 as a nitrogen source is investigated as an approach to substitute fixed nitrogen (ammonia) in the process. At an applied cathode potential of − 0.995 V vs. SHE, the mixed microbial community with a few known N2 and CO2 fixing microorganisms produced 463.5 ± 14 mg/l acetate using gaseous N2 and CO2 feedstock along with traces of ammonia (0.80 ± 0.06 mg/l) confirming the simultaneous fixation of these gases. Up to 85%, 0.5%, and 4.9% electrons were recovered in acetate, ammonia, and biomass, respectively, with a maximum of 39% energetic efficiency. A preliminary analysis suggested the possibility of bringing down a considerable amount of CO2 from going into the environment both by fixing CO2 into acetate and avoiding the use of fixed ammonia, the production of which is associated with the CO2 emissions. Thus, the demonstrated process circumvents the conventional fixed nitrogen (ammonia) usage in MES while still being able to produce considerable acetate from CO2.","container-title":"Journal of CO2 Utilization","DOI":"10.1016/j.jcou.2022.101997","ISSN":"2212-9820","journalAbbreviation":"Journal of CO2 Utilization","language":"en","page":"101997","source":"ScienceDirect","title":"Electricity-driven bioproduction from CO2 and N2 feedstocks using enriched mixed microbial culture","volume":"60","author":[{"family":"Yadav","given":"Ravineet"},{"family":"Chiranjeevi","given":"P."},{"family":"Yadav","given":"Sukrampal"},{"family":"Singh","given":"Ramandeep"},{"family":"Patil","given":"Sunil A."}],"issued":{"date-parts":[["2022",6,1]]}}},{"id":566,"uris":["http://zotero.org/users/local/ahqjqVuV/items/WG5R9KMX"],"itemData":{"id":566,"type":"article-journal","abstract":"Microbial electrosynthesis is a promising technology for high-value added products generation from organic and inorganic waste. In this work, autotrophic dual-chamber microbial electrolysis cells (MECs) were set up for N2 fixation at -0.9 V vs Ag/AgCl (sat. KCl) cathodic potential under ambient conditions. Higher NH4+ production yield (average value of 0.35 µmol h-1 cm-2, normalized to cathode surface area) and higher faradaic efficiency (FE, 20.25%) were obtained with intermittent addition of N2 and CO2, while the yield and FE were only 0.018 µmol h-1 cm-2 and 4.21% in the absence of CO2. Furthermore, cyclic voltammograms (CV) explained the bioelectrochemical behavior of N2 reduction was coupled with CO2 reduction in the autotrophic MECs. Microbial community analysis and functional prediction in the cathodic chamber revealed that Xanthobacter and Hydrogenophaga played as producers for N2 and CO2 fixation and Pannonibacter acting as a decomposer for converting organic nitrogen to ammonium. This work not only provided an optional bioelectrocatalytic method for N2 fixation with negative CO2-emissions but also revealed the mechanism of simultaneous fixation of N2 and CO2 via Calvin cycle in autotrophic MECs.","container-title":"Bioelectrochemistry (Amsterdam, Netherlands)","DOI":"10.1016/j.bioelechem.2021.108044","ISSN":"1878-562X","journalAbbreviation":"Bioelectrochemistry","language":"eng","note":"PMID: 34974371","page":"108044","source":"PubMed","title":"Improving electroautotrophic ammonium production from nitrogen gas by simultaneous carbon dioxide fixation in a dual-chamber microbial electrolysis cell","volume":"144","author":[{"family":"Zhang","given":"Lixia"},{"family":"Tian","given":"Chang"},{"family":"Wang","given":"Haoran"},{"family":"Gu","given":"Wenzhi"},{"family":"Zheng","given":"Decong"},{"family":"Cui","given":"Mengyao"},{"family":"Wang","given":"Xiaomei"},{"family":"He","given":"Xiaohong"},{"family":"Zhan","given":"Guoqiang"},{"family":"Li","given":"Daping"}],"issued":{"date-parts":[["2022",4]]}}}],"schema":"https://github.com/citation-style-language/schema/raw/master/csl-citation.json"} </w:instrText>
      </w:r>
      <w:r w:rsidRPr="00C13637">
        <w:rPr>
          <w:rFonts w:eastAsia="Calibri"/>
          <w:highlight w:val="yellow"/>
        </w:rPr>
        <w:fldChar w:fldCharType="separate"/>
      </w:r>
      <w:r w:rsidR="00402127" w:rsidRPr="00402127">
        <w:rPr>
          <w:rFonts w:ascii="Calibri" w:eastAsia="Calibri" w:hAnsi="Calibri" w:cs="Calibri"/>
          <w:highlight w:val="yellow"/>
        </w:rPr>
        <w:t>(Li et al., 2022; Yadav et al., 2022; Zhang et al., 2022)</w:t>
      </w:r>
      <w:r w:rsidRPr="00C13637">
        <w:rPr>
          <w:rFonts w:eastAsia="Calibri"/>
          <w:highlight w:val="yellow"/>
        </w:rPr>
        <w:fldChar w:fldCharType="end"/>
      </w:r>
      <w:r w:rsidRPr="00C13637">
        <w:rPr>
          <w:rFonts w:eastAsia="Calibri"/>
          <w:highlight w:val="yellow"/>
        </w:rPr>
        <w:t>. When demonstrating the N</w:t>
      </w:r>
      <w:r w:rsidRPr="00C13637">
        <w:rPr>
          <w:rFonts w:eastAsia="Calibri"/>
          <w:highlight w:val="yellow"/>
          <w:vertAlign w:val="subscript"/>
        </w:rPr>
        <w:t>2</w:t>
      </w:r>
      <w:r w:rsidRPr="00C13637">
        <w:rPr>
          <w:rFonts w:eastAsia="Calibri"/>
          <w:highlight w:val="yellow"/>
        </w:rPr>
        <w:t xml:space="preserve"> fixation in MES, Rago et al </w:t>
      </w:r>
      <w:r w:rsidRPr="00C13637">
        <w:rPr>
          <w:rFonts w:eastAsia="Calibri"/>
          <w:highlight w:val="yellow"/>
        </w:rPr>
        <w:fldChar w:fldCharType="begin"/>
      </w:r>
      <w:r w:rsidR="00C10BAA">
        <w:rPr>
          <w:rFonts w:eastAsia="Calibri"/>
          <w:highlight w:val="yellow"/>
        </w:rPr>
        <w:instrText xml:space="preserve"> ADDIN ZOTERO_ITEM CSL_CITATION {"citationID":"VUnuwkEA","properties":{"formattedCitation":"(Rago et al., 2019)","plainCitation":"(Rago et al., 2019)","dontUpdate":true,"noteIndex":0},"citationItems":[{"id":3,"uris":["http://zotero.org/users/local/ahqjqVuV/items/9WMCQQZA"],"itemData":{"id":3,"type":"article-journal","abstract":"A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C13637">
        <w:rPr>
          <w:rFonts w:eastAsia="Calibri"/>
          <w:highlight w:val="yellow"/>
        </w:rPr>
        <w:fldChar w:fldCharType="separate"/>
      </w:r>
      <w:r w:rsidRPr="00C13637">
        <w:rPr>
          <w:rFonts w:eastAsia="Calibri"/>
          <w:highlight w:val="yellow"/>
        </w:rPr>
        <w:t>(2019)</w:t>
      </w:r>
      <w:r w:rsidRPr="00C13637">
        <w:rPr>
          <w:rFonts w:eastAsia="Calibri"/>
          <w:highlight w:val="yellow"/>
        </w:rPr>
        <w:fldChar w:fldCharType="end"/>
      </w:r>
      <w:r w:rsidRPr="00C13637">
        <w:rPr>
          <w:rFonts w:eastAsia="Calibri"/>
          <w:highlight w:val="yellow"/>
        </w:rPr>
        <w:t xml:space="preserve"> showed a N</w:t>
      </w:r>
      <w:r w:rsidRPr="00C13637">
        <w:rPr>
          <w:rFonts w:eastAsia="Calibri"/>
          <w:highlight w:val="yellow"/>
          <w:vertAlign w:val="subscript"/>
        </w:rPr>
        <w:t>2</w:t>
      </w:r>
      <w:r w:rsidRPr="00C13637">
        <w:rPr>
          <w:rFonts w:eastAsia="Calibri"/>
          <w:highlight w:val="yellow"/>
        </w:rPr>
        <w:t xml:space="preserve"> fixation of 0.2 mgN/L.d in biomass and 5 10</w:t>
      </w:r>
      <w:r w:rsidRPr="00C13637">
        <w:rPr>
          <w:rFonts w:eastAsia="Calibri"/>
          <w:highlight w:val="yellow"/>
          <w:vertAlign w:val="superscript"/>
        </w:rPr>
        <w:t>9</w:t>
      </w:r>
      <w:r w:rsidRPr="00C13637">
        <w:rPr>
          <w:rFonts w:eastAsia="Calibri"/>
          <w:highlight w:val="yellow"/>
        </w:rPr>
        <w:t xml:space="preserve"> bacteria/L.d</w:t>
      </w:r>
      <w:r w:rsidR="00402127">
        <w:rPr>
          <w:rFonts w:eastAsia="Calibri"/>
          <w:highlight w:val="yellow"/>
        </w:rPr>
        <w:t xml:space="preserve"> </w:t>
      </w:r>
      <w:r w:rsidR="00402127">
        <w:rPr>
          <w:rFonts w:eastAsia="Calibri"/>
          <w:highlight w:val="yellow"/>
        </w:rPr>
        <w:fldChar w:fldCharType="begin"/>
      </w:r>
      <w:r w:rsidR="00402127">
        <w:rPr>
          <w:rFonts w:eastAsia="Calibri"/>
          <w:highlight w:val="yellow"/>
        </w:rPr>
        <w:instrText xml:space="preserve"> ADDIN ZOTERO_ITEM CSL_CITATION {"citationID":"8jbAXePR","properties":{"formattedCitation":"(Rago et al., 2019)","plainCitation":"(Rago et al., 2019)","noteIndex":0},"citationItems":[{"id":3,"uris":["http://zotero.org/users/local/ahqjqVuV/items/9WMCQQZA"],"itemData":{"id":3,"type":"article-journal","abstract":"A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402127">
        <w:rPr>
          <w:rFonts w:eastAsia="Calibri"/>
          <w:highlight w:val="yellow"/>
        </w:rPr>
        <w:fldChar w:fldCharType="separate"/>
      </w:r>
      <w:r w:rsidR="00402127" w:rsidRPr="00402127">
        <w:rPr>
          <w:rFonts w:ascii="Calibri" w:eastAsia="Calibri" w:hAnsi="Calibri" w:cs="Calibri"/>
          <w:highlight w:val="yellow"/>
        </w:rPr>
        <w:t>(Rago et al., 2019)</w:t>
      </w:r>
      <w:r w:rsidR="00402127">
        <w:rPr>
          <w:rFonts w:eastAsia="Calibri"/>
          <w:highlight w:val="yellow"/>
        </w:rPr>
        <w:fldChar w:fldCharType="end"/>
      </w:r>
      <w:r w:rsidRPr="00C13637">
        <w:rPr>
          <w:rFonts w:eastAsia="Calibri"/>
          <w:highlight w:val="yellow"/>
        </w:rPr>
        <w:t xml:space="preserve">. In the present study, biomass production in biofilms was 2 to 10 times higher than in Rago et al. </w:t>
      </w:r>
      <w:r w:rsidRPr="00C13637">
        <w:rPr>
          <w:rFonts w:eastAsia="Calibri"/>
          <w:highlight w:val="yellow"/>
        </w:rPr>
        <w:fldChar w:fldCharType="begin"/>
      </w:r>
      <w:r w:rsidR="00C10BAA">
        <w:rPr>
          <w:rFonts w:eastAsia="Calibri"/>
          <w:highlight w:val="yellow"/>
        </w:rPr>
        <w:instrText xml:space="preserve"> ADDIN ZOTERO_ITEM CSL_CITATION {"citationID":"hKbkBnBn","properties":{"formattedCitation":"(Rago et al., 2019)","plainCitation":"(Rago et al., 2019)","dontUpdate":true,"noteIndex":0},"citationItems":[{"id":3,"uris":["http://zotero.org/users/local/ahqjqVuV/items/9WMCQQZA"],"itemData":{"id":3,"type":"article-journal","abstract":"A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Pr="00C13637">
        <w:rPr>
          <w:rFonts w:eastAsia="Calibri"/>
          <w:highlight w:val="yellow"/>
        </w:rPr>
        <w:fldChar w:fldCharType="separate"/>
      </w:r>
      <w:r w:rsidRPr="00C13637">
        <w:rPr>
          <w:rFonts w:eastAsia="Calibri"/>
          <w:highlight w:val="yellow"/>
        </w:rPr>
        <w:t>(2019)</w:t>
      </w:r>
      <w:r w:rsidRPr="00C13637">
        <w:rPr>
          <w:rFonts w:eastAsia="Calibri"/>
          <w:highlight w:val="yellow"/>
        </w:rPr>
        <w:fldChar w:fldCharType="end"/>
      </w:r>
      <w:r w:rsidRPr="00C13637">
        <w:rPr>
          <w:rFonts w:eastAsia="Calibri"/>
          <w:highlight w:val="yellow"/>
        </w:rPr>
        <w:t>, as was the nitrogen found in the biomass varied between 0.2 and 1 mg/L.d before 214 days</w:t>
      </w:r>
      <w:r w:rsidR="00402127">
        <w:rPr>
          <w:rFonts w:eastAsia="Calibri"/>
          <w:highlight w:val="yellow"/>
        </w:rPr>
        <w:t xml:space="preserve"> </w:t>
      </w:r>
      <w:r w:rsidR="00402127">
        <w:rPr>
          <w:rFonts w:eastAsia="Calibri"/>
          <w:highlight w:val="yellow"/>
        </w:rPr>
        <w:fldChar w:fldCharType="begin"/>
      </w:r>
      <w:r w:rsidR="00402127">
        <w:rPr>
          <w:rFonts w:eastAsia="Calibri"/>
          <w:highlight w:val="yellow"/>
        </w:rPr>
        <w:instrText xml:space="preserve"> ADDIN ZOTERO_ITEM CSL_CITATION {"citationID":"g0INTnx6","properties":{"formattedCitation":"(Rago et al., 2019)","plainCitation":"(Rago et al., 2019)","noteIndex":0},"citationItems":[{"id":3,"uris":["http://zotero.org/users/local/ahqjqVuV/items/9WMCQQZA"],"itemData":{"id":3,"type":"article-journal","abstract":"A new approach to microbial electrosynthesis is proposed, aimed at producing whole biomass from N2 and inorganic carbon, by electrostimulation of complex microbial communities. On a carbon-based conductor under constant polarization (−0.7 V vs SHE), an electroactive biofilm was enriched with autotrophic nitrogen fixing microorganims and led to biomass synthesis at higher amounts (up to 18 fold), as compared to controls kept at open circuit (OC). After 110 days, the electron transfer had increased by 30-fold, as compared to abiotic conditions. Metagenomics evidenced Nif genes associated with autotrophs (both Archaea and Bacteria) only in polarized biofilms, but not in OC. With this first proof of concept experiment, we propose to call this promising field ‘bioelectrochemical nitrogen fixation’ (e-BNF): a possible way to ‘power’ biological nitrogen fixation, organic carbon storage and soil fertility against desertification, and possibly a new tool to study the development of early prokaryotic life in extreme environments.","container-title":"Bioelectrochemistry","DOI":"10.1016/j.bioelechem.2018.10.002","ISSN":"1567-5394","journalAbbreviation":"Bioelectrochemistry","language":"en","page":"105-115","source":"ScienceDirect","title":"Bioelectrochemical Nitrogen fixation (e-BNF): Electro-stimulation of enriched biofilm communities drives autotrophic nitrogen and carbon fixation","title-short":"Bioelectrochemical Nitrogen fixation (e-BNF)","volume":"125","author":[{"family":"Rago","given":"Laura"},{"family":"Zecchin","given":"Sarah"},{"family":"Villa","given":"Federica"},{"family":"Goglio","given":"Andrea"},{"family":"Corsini","given":"Anna"},{"family":"Cavalca","given":"Lucia"},{"family":"Schievano","given":"Andrea"}],"issued":{"date-parts":[["2019",2,1]]}}}],"schema":"https://github.com/citation-style-language/schema/raw/master/csl-citation.json"} </w:instrText>
      </w:r>
      <w:r w:rsidR="00402127">
        <w:rPr>
          <w:rFonts w:eastAsia="Calibri"/>
          <w:highlight w:val="yellow"/>
        </w:rPr>
        <w:fldChar w:fldCharType="separate"/>
      </w:r>
      <w:r w:rsidR="00402127" w:rsidRPr="00402127">
        <w:rPr>
          <w:rFonts w:ascii="Calibri" w:eastAsia="Calibri" w:hAnsi="Calibri" w:cs="Calibri"/>
          <w:highlight w:val="yellow"/>
        </w:rPr>
        <w:t>(Rago et al., 2019)</w:t>
      </w:r>
      <w:r w:rsidR="00402127">
        <w:rPr>
          <w:rFonts w:eastAsia="Calibri"/>
          <w:highlight w:val="yellow"/>
        </w:rPr>
        <w:fldChar w:fldCharType="end"/>
      </w:r>
      <w:r w:rsidRPr="00C13637">
        <w:rPr>
          <w:rFonts w:eastAsia="Calibri"/>
          <w:highlight w:val="yellow"/>
        </w:rPr>
        <w:t>.</w:t>
      </w:r>
    </w:p>
    <w:p w14:paraId="2E2E9A80" w14:textId="0729542A" w:rsidR="009F23BD" w:rsidRPr="00643E01" w:rsidRDefault="00643E01" w:rsidP="00127A82">
      <w:pPr>
        <w:pStyle w:val="PCJSubsection"/>
      </w:pPr>
      <w:r w:rsidRPr="00643E01">
        <w:t>Microbial communities</w:t>
      </w:r>
    </w:p>
    <w:p w14:paraId="540A2DFE" w14:textId="6D9A81CF" w:rsidR="00EB659D" w:rsidRPr="00C13637" w:rsidRDefault="00EB659D" w:rsidP="00C13637">
      <w:pPr>
        <w:pStyle w:val="PCJtext"/>
        <w:rPr>
          <w:highlight w:val="yellow"/>
        </w:rPr>
      </w:pPr>
      <w:r w:rsidRPr="00C13637">
        <w:rPr>
          <w:highlight w:val="yellow"/>
        </w:rPr>
        <w:t>16S rDNA sequencing was performed at the end of pre-enrichment , and at 214 or 232 days of enrichment in polarized cathode enrichment (PCE)</w:t>
      </w:r>
      <w:r w:rsidRPr="00C13637" w:rsidDel="00F00063">
        <w:rPr>
          <w:highlight w:val="yellow"/>
        </w:rPr>
        <w:t xml:space="preserve"> </w:t>
      </w:r>
      <w:r w:rsidRPr="00C13637">
        <w:rPr>
          <w:highlight w:val="yellow"/>
        </w:rPr>
        <w:t>and in H</w:t>
      </w:r>
      <w:r w:rsidRPr="00C13637">
        <w:rPr>
          <w:highlight w:val="yellow"/>
          <w:vertAlign w:val="subscript"/>
        </w:rPr>
        <w:t>2</w:t>
      </w:r>
      <w:r w:rsidRPr="00C13637">
        <w:rPr>
          <w:highlight w:val="yellow"/>
        </w:rPr>
        <w:t>-fed enrichment bottles</w:t>
      </w:r>
      <w:r>
        <w:rPr>
          <w:highlight w:val="yellow"/>
        </w:rPr>
        <w:t xml:space="preserve"> (H</w:t>
      </w:r>
      <w:r>
        <w:rPr>
          <w:highlight w:val="yellow"/>
          <w:vertAlign w:val="subscript"/>
        </w:rPr>
        <w:t>2</w:t>
      </w:r>
      <w:r>
        <w:rPr>
          <w:highlight w:val="yellow"/>
        </w:rPr>
        <w:t>E)</w:t>
      </w:r>
      <w:r w:rsidRPr="00C13637">
        <w:rPr>
          <w:highlight w:val="yellow"/>
        </w:rPr>
        <w:t>, respectively. The sampling days were selected because they were associated to a high microbial activity (high current densities and high biomass concentrations). In H</w:t>
      </w:r>
      <w:r w:rsidRPr="00C13637">
        <w:rPr>
          <w:highlight w:val="yellow"/>
          <w:vertAlign w:val="subscript"/>
        </w:rPr>
        <w:t>2</w:t>
      </w:r>
      <w:r w:rsidRPr="00C13637">
        <w:rPr>
          <w:highlight w:val="yellow"/>
        </w:rPr>
        <w:t xml:space="preserve">E, the </w:t>
      </w:r>
      <w:r w:rsidRPr="00C13637">
        <w:rPr>
          <w:i/>
          <w:highlight w:val="yellow"/>
        </w:rPr>
        <w:t>nifH</w:t>
      </w:r>
      <w:r w:rsidRPr="00C13637">
        <w:rPr>
          <w:highlight w:val="yellow"/>
        </w:rPr>
        <w:t xml:space="preserve">/16S abundance ratio was also maximum (0.9) at day 232. Principal Component Analysis (PCA) was used to present the communities for each enrichment. Each reactors and bottles are presented as individuals and major families as variables in PCA presented in the </w:t>
      </w:r>
      <w:r w:rsidRPr="00C13637">
        <w:rPr>
          <w:highlight w:val="yellow"/>
        </w:rPr>
        <w:fldChar w:fldCharType="begin"/>
      </w:r>
      <w:r w:rsidRPr="00C13637">
        <w:rPr>
          <w:highlight w:val="yellow"/>
        </w:rPr>
        <w:instrText xml:space="preserve"> REF _Ref129081860 \h  \* MERGEFORMAT </w:instrText>
      </w:r>
      <w:r w:rsidRPr="00C13637">
        <w:rPr>
          <w:highlight w:val="yellow"/>
        </w:rPr>
      </w:r>
      <w:r w:rsidRPr="00C13637">
        <w:rPr>
          <w:highlight w:val="yellow"/>
        </w:rPr>
        <w:fldChar w:fldCharType="separate"/>
      </w:r>
      <w:r w:rsidR="008E52F5">
        <w:rPr>
          <w:highlight w:val="yellow"/>
        </w:rPr>
        <w:t>F</w:t>
      </w:r>
      <w:r w:rsidRPr="00C13637">
        <w:rPr>
          <w:highlight w:val="yellow"/>
        </w:rPr>
        <w:t>igure 6</w:t>
      </w:r>
      <w:r w:rsidRPr="00C13637">
        <w:rPr>
          <w:highlight w:val="yellow"/>
        </w:rPr>
        <w:fldChar w:fldCharType="end"/>
      </w:r>
      <w:r w:rsidRPr="00C13637">
        <w:rPr>
          <w:highlight w:val="yellow"/>
        </w:rPr>
        <w:t xml:space="preserve"> and relative abundances are presented in the </w:t>
      </w:r>
      <w:r w:rsidR="008E52F5" w:rsidRPr="00C13637">
        <w:rPr>
          <w:highlight w:val="yellow"/>
        </w:rPr>
        <w:fldChar w:fldCharType="begin"/>
      </w:r>
      <w:r w:rsidR="008E52F5" w:rsidRPr="00C13637">
        <w:rPr>
          <w:highlight w:val="yellow"/>
        </w:rPr>
        <w:instrText xml:space="preserve"> REF _Ref137733335 \h  \* MERGEFORMAT </w:instrText>
      </w:r>
      <w:r w:rsidR="008E52F5" w:rsidRPr="00C13637">
        <w:rPr>
          <w:highlight w:val="yellow"/>
        </w:rPr>
      </w:r>
      <w:r w:rsidR="008E52F5" w:rsidRPr="00C13637">
        <w:rPr>
          <w:highlight w:val="yellow"/>
        </w:rPr>
        <w:fldChar w:fldCharType="separate"/>
      </w:r>
      <w:r w:rsidR="008E52F5" w:rsidRPr="00C13637">
        <w:rPr>
          <w:highlight w:val="yellow"/>
        </w:rPr>
        <w:t>Figure 7</w:t>
      </w:r>
      <w:r w:rsidR="008E52F5" w:rsidRPr="00C13637">
        <w:rPr>
          <w:highlight w:val="yellow"/>
        </w:rPr>
        <w:fldChar w:fldCharType="end"/>
      </w:r>
      <w:r w:rsidRPr="00C13637">
        <w:rPr>
          <w:highlight w:val="yellow"/>
        </w:rPr>
        <w:t>.</w:t>
      </w:r>
    </w:p>
    <w:p w14:paraId="2593437E" w14:textId="79673FF5" w:rsidR="00EB659D" w:rsidRPr="00C13637" w:rsidRDefault="00EB659D" w:rsidP="00C13637">
      <w:pPr>
        <w:pStyle w:val="PCJtext"/>
        <w:rPr>
          <w:highlight w:val="yellow"/>
        </w:rPr>
      </w:pPr>
      <w:r w:rsidRPr="00C13637">
        <w:rPr>
          <w:highlight w:val="yellow"/>
        </w:rPr>
        <w:t xml:space="preserve">For communities at the end of the pre-enrichment, the principal component analysis (PCA) showed an important link between the families of the </w:t>
      </w:r>
      <w:r w:rsidRPr="00C13637">
        <w:rPr>
          <w:i/>
          <w:highlight w:val="yellow"/>
        </w:rPr>
        <w:t>Clostridiaceae</w:t>
      </w:r>
      <w:r w:rsidRPr="00C13637">
        <w:rPr>
          <w:highlight w:val="yellow"/>
        </w:rPr>
        <w:t xml:space="preserve">, </w:t>
      </w:r>
      <w:r w:rsidRPr="00C13637">
        <w:rPr>
          <w:i/>
          <w:highlight w:val="yellow"/>
        </w:rPr>
        <w:t>Enterobacteriaceae</w:t>
      </w:r>
      <w:r w:rsidRPr="00C13637">
        <w:rPr>
          <w:highlight w:val="yellow"/>
        </w:rPr>
        <w:t xml:space="preserve">, </w:t>
      </w:r>
      <w:r w:rsidRPr="00C13637">
        <w:rPr>
          <w:i/>
          <w:highlight w:val="yellow"/>
        </w:rPr>
        <w:t>Enterococcaceae</w:t>
      </w:r>
      <w:r w:rsidRPr="00C13637">
        <w:rPr>
          <w:highlight w:val="yellow"/>
        </w:rPr>
        <w:t xml:space="preserve"> and </w:t>
      </w:r>
      <w:r w:rsidRPr="00C13637">
        <w:rPr>
          <w:i/>
          <w:highlight w:val="yellow"/>
        </w:rPr>
        <w:t>Lachnospiraceae</w:t>
      </w:r>
      <w:r w:rsidRPr="00C13637">
        <w:rPr>
          <w:highlight w:val="yellow"/>
        </w:rPr>
        <w:t xml:space="preserve"> and with the PCE pre-enrichment (</w:t>
      </w:r>
      <w:r w:rsidRPr="00C13637">
        <w:rPr>
          <w:highlight w:val="yellow"/>
        </w:rPr>
        <w:fldChar w:fldCharType="begin"/>
      </w:r>
      <w:r w:rsidRPr="00C13637">
        <w:rPr>
          <w:highlight w:val="yellow"/>
        </w:rPr>
        <w:instrText xml:space="preserve"> REF _Ref129081860 \h  \* MERGEFORMAT </w:instrText>
      </w:r>
      <w:r w:rsidRPr="00C13637">
        <w:rPr>
          <w:highlight w:val="yellow"/>
        </w:rPr>
      </w:r>
      <w:r w:rsidRPr="00C13637">
        <w:rPr>
          <w:highlight w:val="yellow"/>
        </w:rPr>
        <w:fldChar w:fldCharType="separate"/>
      </w:r>
      <w:r w:rsidRPr="00C13637">
        <w:rPr>
          <w:highlight w:val="yellow"/>
        </w:rPr>
        <w:t>Figure 6</w:t>
      </w:r>
      <w:r w:rsidRPr="00C13637">
        <w:rPr>
          <w:highlight w:val="yellow"/>
        </w:rPr>
        <w:fldChar w:fldCharType="end"/>
      </w:r>
      <w:r w:rsidRPr="00C13637">
        <w:rPr>
          <w:highlight w:val="yellow"/>
        </w:rPr>
        <w:t xml:space="preserve">a). Indeed, the group of communities of pre-enrichment with organic C is well separated from the others groups and follow the same direction as these four families. A dominance of the </w:t>
      </w:r>
      <w:r w:rsidRPr="00C13637">
        <w:rPr>
          <w:i/>
          <w:highlight w:val="yellow"/>
        </w:rPr>
        <w:t>Enterobacteriaceae</w:t>
      </w:r>
      <w:r w:rsidRPr="00C13637">
        <w:rPr>
          <w:highlight w:val="yellow"/>
        </w:rPr>
        <w:t xml:space="preserve"> family (mainly of the </w:t>
      </w:r>
      <w:r w:rsidRPr="00C13637">
        <w:rPr>
          <w:i/>
          <w:highlight w:val="yellow"/>
        </w:rPr>
        <w:t>Citrobacter</w:t>
      </w:r>
      <w:r w:rsidRPr="00C13637">
        <w:rPr>
          <w:highlight w:val="yellow"/>
        </w:rPr>
        <w:t xml:space="preserve"> genus) was observed for each pre-enriched sample expect for the pre-mixed sample where the three others families are highly present. These families are therefore absent or very weakly represented in the other sequenced communities as shown in </w:t>
      </w:r>
      <w:r w:rsidR="008E52F5" w:rsidRPr="00C13637">
        <w:rPr>
          <w:highlight w:val="yellow"/>
        </w:rPr>
        <w:fldChar w:fldCharType="begin"/>
      </w:r>
      <w:r w:rsidR="008E52F5" w:rsidRPr="00C13637">
        <w:rPr>
          <w:highlight w:val="yellow"/>
        </w:rPr>
        <w:instrText xml:space="preserve"> REF _Ref137733335 \h  \* MERGEFORMAT </w:instrText>
      </w:r>
      <w:r w:rsidR="008E52F5" w:rsidRPr="00C13637">
        <w:rPr>
          <w:highlight w:val="yellow"/>
        </w:rPr>
      </w:r>
      <w:r w:rsidR="008E52F5" w:rsidRPr="00C13637">
        <w:rPr>
          <w:highlight w:val="yellow"/>
        </w:rPr>
        <w:fldChar w:fldCharType="separate"/>
      </w:r>
      <w:r w:rsidR="008E52F5" w:rsidRPr="00C13637">
        <w:rPr>
          <w:highlight w:val="yellow"/>
        </w:rPr>
        <w:t>Figure 7</w:t>
      </w:r>
      <w:r w:rsidR="008E52F5" w:rsidRPr="00C13637">
        <w:rPr>
          <w:highlight w:val="yellow"/>
        </w:rPr>
        <w:fldChar w:fldCharType="end"/>
      </w:r>
      <w:r w:rsidRPr="00C13637">
        <w:rPr>
          <w:highlight w:val="yellow"/>
        </w:rPr>
        <w:t>.</w:t>
      </w:r>
    </w:p>
    <w:p w14:paraId="07A90094" w14:textId="77777777" w:rsidR="00643E01" w:rsidRPr="00643E01" w:rsidRDefault="00643E01" w:rsidP="00643E01">
      <w:pPr>
        <w:jc w:val="center"/>
        <w:rPr>
          <w:rFonts w:eastAsia="Times New Roman" w:cs="Times New Roman"/>
        </w:rPr>
      </w:pPr>
      <w:r>
        <w:rPr>
          <w:noProof/>
          <w:lang w:eastAsia="fr-FR"/>
        </w:rPr>
        <w:drawing>
          <wp:inline distT="0" distB="0" distL="0" distR="0" wp14:anchorId="361F107C" wp14:editId="5702ED11">
            <wp:extent cx="3649649" cy="4058447"/>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52897" cy="4062059"/>
                    </a:xfrm>
                    <a:prstGeom prst="rect">
                      <a:avLst/>
                    </a:prstGeom>
                    <a:ln>
                      <a:noFill/>
                    </a:ln>
                    <a:extLst>
                      <a:ext uri="{53640926-AAD7-44D8-BBD7-CCE9431645EC}">
                        <a14:shadowObscured xmlns:a14="http://schemas.microsoft.com/office/drawing/2010/main"/>
                      </a:ext>
                    </a:extLst>
                  </pic:spPr>
                </pic:pic>
              </a:graphicData>
            </a:graphic>
          </wp:inline>
        </w:drawing>
      </w:r>
    </w:p>
    <w:p w14:paraId="7987F146" w14:textId="3DD85F76" w:rsidR="00643E01" w:rsidRPr="00643E01" w:rsidRDefault="00643E01" w:rsidP="00C13637">
      <w:pPr>
        <w:pStyle w:val="PCJcaptionfigure"/>
      </w:pPr>
      <w:bookmarkStart w:id="19" w:name="_Ref129081860"/>
      <w:r w:rsidRPr="00456C92">
        <w:rPr>
          <w:b/>
          <w:highlight w:val="yellow"/>
        </w:rPr>
        <w:t xml:space="preserve">Figure </w:t>
      </w:r>
      <w:r w:rsidRPr="00456C92">
        <w:rPr>
          <w:b/>
          <w:highlight w:val="yellow"/>
        </w:rPr>
        <w:fldChar w:fldCharType="begin"/>
      </w:r>
      <w:r w:rsidRPr="00456C92">
        <w:rPr>
          <w:b/>
          <w:highlight w:val="yellow"/>
        </w:rPr>
        <w:instrText xml:space="preserve"> SEQ Figure \* ARABIC </w:instrText>
      </w:r>
      <w:r w:rsidRPr="00456C92">
        <w:rPr>
          <w:b/>
          <w:highlight w:val="yellow"/>
        </w:rPr>
        <w:fldChar w:fldCharType="separate"/>
      </w:r>
      <w:r w:rsidR="00D802AF">
        <w:rPr>
          <w:b/>
          <w:highlight w:val="yellow"/>
        </w:rPr>
        <w:t>6</w:t>
      </w:r>
      <w:r w:rsidRPr="00456C92">
        <w:rPr>
          <w:highlight w:val="yellow"/>
        </w:rPr>
        <w:fldChar w:fldCharType="end"/>
      </w:r>
      <w:bookmarkEnd w:id="19"/>
      <w:r w:rsidRPr="00456C92">
        <w:rPr>
          <w:highlight w:val="yellow"/>
        </w:rPr>
        <w:t xml:space="preserve"> - </w:t>
      </w:r>
      <w:r w:rsidR="00EB659D" w:rsidRPr="00C13637">
        <w:rPr>
          <w:highlight w:val="yellow"/>
        </w:rPr>
        <w:t>Results of the principal component analysis (PCA) performed on the microbial communities of a) pre-enrichments, H</w:t>
      </w:r>
      <w:r w:rsidR="00EB659D" w:rsidRPr="00C13637">
        <w:rPr>
          <w:highlight w:val="yellow"/>
          <w:vertAlign w:val="subscript"/>
        </w:rPr>
        <w:t>2</w:t>
      </w:r>
      <w:r w:rsidR="00EB659D" w:rsidRPr="00C13637">
        <w:rPr>
          <w:highlight w:val="yellow"/>
        </w:rPr>
        <w:t>-fed enrichment bottles (H</w:t>
      </w:r>
      <w:r w:rsidR="00EB659D" w:rsidRPr="00C13637">
        <w:rPr>
          <w:highlight w:val="yellow"/>
          <w:vertAlign w:val="subscript"/>
        </w:rPr>
        <w:t>2</w:t>
      </w:r>
      <w:r w:rsidR="00EB659D" w:rsidRPr="00C13637">
        <w:rPr>
          <w:highlight w:val="yellow"/>
        </w:rPr>
        <w:t>E) after 232 days and cathodes of PCE and nPCE enrichments after 214 days and b) H</w:t>
      </w:r>
      <w:r w:rsidR="00EB659D" w:rsidRPr="00C13637">
        <w:rPr>
          <w:highlight w:val="yellow"/>
          <w:vertAlign w:val="subscript"/>
        </w:rPr>
        <w:t>2</w:t>
      </w:r>
      <w:r w:rsidR="00EB659D" w:rsidRPr="00C13637">
        <w:rPr>
          <w:highlight w:val="yellow"/>
        </w:rPr>
        <w:t>-fed enrichment bottles (H</w:t>
      </w:r>
      <w:r w:rsidR="00EB659D" w:rsidRPr="00C13637">
        <w:rPr>
          <w:highlight w:val="yellow"/>
          <w:vertAlign w:val="subscript"/>
        </w:rPr>
        <w:t>2</w:t>
      </w:r>
      <w:r w:rsidR="00EB659D" w:rsidRPr="00C13637">
        <w:rPr>
          <w:highlight w:val="yellow"/>
        </w:rPr>
        <w:t xml:space="preserve">E) after 232 days and cathodes of PCE and nPCE enrichments after 214 days. Only families of the five major bacterial OTU in each sampled community were used for the analysis. The microbial communities in the </w:t>
      </w:r>
      <w:r w:rsidR="00EB659D" w:rsidRPr="00C13637">
        <w:rPr>
          <w:highlight w:val="yellow"/>
        </w:rPr>
        <w:lastRenderedPageBreak/>
        <w:t>pre-enrichment bottles are represented by the following abbreviations: F for forest soil, C for compost, L for the rhizosphere of leguminous plants, and M for a mix of all. Variables least close to the correlation circle are not displayed (cos2 &lt; 0.2).</w:t>
      </w:r>
    </w:p>
    <w:p w14:paraId="71D00B0A" w14:textId="546A9690" w:rsidR="008E52F5" w:rsidRPr="00C13637" w:rsidRDefault="008E52F5" w:rsidP="00C13637">
      <w:pPr>
        <w:pStyle w:val="PCJtext"/>
      </w:pPr>
      <w:r w:rsidRPr="00C13637">
        <w:rPr>
          <w:highlight w:val="yellow"/>
        </w:rPr>
        <w:t>For the H</w:t>
      </w:r>
      <w:r w:rsidRPr="00C13637">
        <w:rPr>
          <w:highlight w:val="yellow"/>
          <w:vertAlign w:val="subscript"/>
        </w:rPr>
        <w:t>2</w:t>
      </w:r>
      <w:r w:rsidRPr="00C13637">
        <w:rPr>
          <w:highlight w:val="yellow"/>
        </w:rPr>
        <w:t>-fed bottle pre-enrichments (H</w:t>
      </w:r>
      <w:r w:rsidRPr="00C13637">
        <w:rPr>
          <w:highlight w:val="yellow"/>
          <w:vertAlign w:val="subscript"/>
        </w:rPr>
        <w:t>2</w:t>
      </w:r>
      <w:r w:rsidRPr="00C13637">
        <w:rPr>
          <w:highlight w:val="yellow"/>
        </w:rPr>
        <w:t>E), the group is also seprated of the 232-days enriched community H</w:t>
      </w:r>
      <w:r w:rsidRPr="00C13637">
        <w:rPr>
          <w:highlight w:val="yellow"/>
          <w:vertAlign w:val="subscript"/>
        </w:rPr>
        <w:t>2</w:t>
      </w:r>
      <w:r w:rsidRPr="00C13637">
        <w:rPr>
          <w:highlight w:val="yellow"/>
        </w:rPr>
        <w:t xml:space="preserve">E. </w:t>
      </w:r>
      <w:r w:rsidRPr="00C13637">
        <w:rPr>
          <w:i/>
          <w:highlight w:val="yellow"/>
        </w:rPr>
        <w:t>Pseudomonadaceae</w:t>
      </w:r>
      <w:r w:rsidRPr="00C13637">
        <w:rPr>
          <w:highlight w:val="yellow"/>
        </w:rPr>
        <w:t xml:space="preserve"> (45% of average relative abundance) family was mostly dominant at the end of pre-enrichment. </w:t>
      </w:r>
      <w:r w:rsidRPr="00C13637">
        <w:rPr>
          <w:i/>
          <w:highlight w:val="yellow"/>
        </w:rPr>
        <w:t>Nocardiaceae</w:t>
      </w:r>
      <w:r w:rsidRPr="00C13637">
        <w:rPr>
          <w:highlight w:val="yellow"/>
        </w:rPr>
        <w:t xml:space="preserve">, </w:t>
      </w:r>
      <w:r w:rsidRPr="00C13637">
        <w:rPr>
          <w:i/>
          <w:highlight w:val="yellow"/>
        </w:rPr>
        <w:t>Flavobacteriales</w:t>
      </w:r>
      <w:r w:rsidRPr="00C13637">
        <w:rPr>
          <w:highlight w:val="yellow"/>
        </w:rPr>
        <w:t xml:space="preserve">, </w:t>
      </w:r>
      <w:r w:rsidRPr="00C13637">
        <w:rPr>
          <w:i/>
          <w:highlight w:val="yellow"/>
        </w:rPr>
        <w:t>Xanthomonadaceae</w:t>
      </w:r>
      <w:r w:rsidRPr="00C13637">
        <w:rPr>
          <w:highlight w:val="yellow"/>
        </w:rPr>
        <w:t xml:space="preserve"> and </w:t>
      </w:r>
      <w:r w:rsidRPr="00C13637">
        <w:rPr>
          <w:i/>
          <w:highlight w:val="yellow"/>
        </w:rPr>
        <w:t>Comamonadaceae</w:t>
      </w:r>
      <w:r w:rsidRPr="00C13637">
        <w:rPr>
          <w:highlight w:val="yellow"/>
        </w:rPr>
        <w:t xml:space="preserve"> were also present as seen in </w:t>
      </w:r>
      <w:r w:rsidRPr="00C13637">
        <w:rPr>
          <w:highlight w:val="yellow"/>
        </w:rPr>
        <w:fldChar w:fldCharType="begin"/>
      </w:r>
      <w:r w:rsidRPr="00C13637">
        <w:rPr>
          <w:highlight w:val="yellow"/>
        </w:rPr>
        <w:instrText xml:space="preserve"> REF _Ref137733335 \h  \* MERGEFORMAT </w:instrText>
      </w:r>
      <w:r w:rsidRPr="00C13637">
        <w:rPr>
          <w:highlight w:val="yellow"/>
        </w:rPr>
      </w:r>
      <w:r w:rsidRPr="00C13637">
        <w:rPr>
          <w:highlight w:val="yellow"/>
        </w:rPr>
        <w:fldChar w:fldCharType="separate"/>
      </w:r>
      <w:r w:rsidRPr="00C13637">
        <w:rPr>
          <w:highlight w:val="yellow"/>
        </w:rPr>
        <w:t>Figure 7</w:t>
      </w:r>
      <w:r w:rsidRPr="00C13637">
        <w:rPr>
          <w:highlight w:val="yellow"/>
        </w:rPr>
        <w:fldChar w:fldCharType="end"/>
      </w:r>
      <w:r w:rsidRPr="00C13637">
        <w:rPr>
          <w:highlight w:val="yellow"/>
        </w:rPr>
        <w:t xml:space="preserve">. </w:t>
      </w:r>
      <w:r w:rsidRPr="00C13637">
        <w:rPr>
          <w:i/>
          <w:highlight w:val="yellow"/>
        </w:rPr>
        <w:t>Flavobacteriales</w:t>
      </w:r>
      <w:r w:rsidRPr="00C13637">
        <w:rPr>
          <w:highlight w:val="yellow"/>
        </w:rPr>
        <w:t xml:space="preserve"> and </w:t>
      </w:r>
      <w:r w:rsidRPr="00C13637">
        <w:rPr>
          <w:i/>
          <w:highlight w:val="yellow"/>
        </w:rPr>
        <w:t>Comamonadaceae</w:t>
      </w:r>
      <w:r w:rsidRPr="00C13637">
        <w:rPr>
          <w:highlight w:val="yellow"/>
        </w:rPr>
        <w:t xml:space="preserve"> families are also higly linked with the group of pre-enrichment in PCA of </w:t>
      </w:r>
      <w:r w:rsidRPr="00C13637">
        <w:rPr>
          <w:highlight w:val="yellow"/>
        </w:rPr>
        <w:fldChar w:fldCharType="begin"/>
      </w:r>
      <w:r w:rsidRPr="00C13637">
        <w:rPr>
          <w:highlight w:val="yellow"/>
        </w:rPr>
        <w:instrText xml:space="preserve"> REF _Ref129081860 \h  \* MERGEFORMAT </w:instrText>
      </w:r>
      <w:r w:rsidRPr="00C13637">
        <w:rPr>
          <w:highlight w:val="yellow"/>
        </w:rPr>
      </w:r>
      <w:r w:rsidRPr="00C13637">
        <w:rPr>
          <w:highlight w:val="yellow"/>
        </w:rPr>
        <w:fldChar w:fldCharType="separate"/>
      </w:r>
      <w:r w:rsidRPr="00C13637">
        <w:rPr>
          <w:highlight w:val="yellow"/>
        </w:rPr>
        <w:t>Figure 6</w:t>
      </w:r>
      <w:r w:rsidRPr="00C13637">
        <w:rPr>
          <w:highlight w:val="yellow"/>
        </w:rPr>
        <w:fldChar w:fldCharType="end"/>
      </w:r>
      <w:r w:rsidRPr="00C13637">
        <w:rPr>
          <w:highlight w:val="yellow"/>
        </w:rPr>
        <w:t xml:space="preserve">a. These families, with the exception of </w:t>
      </w:r>
      <w:r w:rsidRPr="00C13637">
        <w:rPr>
          <w:i/>
          <w:highlight w:val="yellow"/>
        </w:rPr>
        <w:t>Flavobacteriales</w:t>
      </w:r>
      <w:r w:rsidRPr="00C13637">
        <w:rPr>
          <w:highlight w:val="yellow"/>
        </w:rPr>
        <w:t>, are also known to have members possessing the set of genes necessary for N</w:t>
      </w:r>
      <w:r w:rsidRPr="00C13637">
        <w:rPr>
          <w:highlight w:val="yellow"/>
          <w:vertAlign w:val="subscript"/>
        </w:rPr>
        <w:t>2</w:t>
      </w:r>
      <w:r w:rsidRPr="00C13637">
        <w:rPr>
          <w:highlight w:val="yellow"/>
        </w:rPr>
        <w:t xml:space="preserve"> fixation </w:t>
      </w:r>
      <w:r w:rsidRPr="00C13637">
        <w:rPr>
          <w:highlight w:val="yellow"/>
        </w:rPr>
        <w:fldChar w:fldCharType="begin"/>
      </w:r>
      <w:r w:rsidRPr="00C13637">
        <w:rPr>
          <w:highlight w:val="yellow"/>
        </w:rPr>
        <w:instrText xml:space="preserve"> ADDIN ZOTERO_ITEM CSL_CITATION {"citationID":"1LiOxH1N","properties":{"formattedCitation":"(Dos Santos et al., 2012; Ghodhbane-Gtari et al., 2019; Huda et al., 2022)","plainCitation":"(Dos Santos et al., 2012; Ghodhbane-Gtari et al., 2019; Huda et al., 2022)","noteIndex":0},"citationItems":[{"id":755,"uris":["http://zotero.org/users/local/ahqjqVuV/items/N23A8IJY"],"itemData":{"id":755,"type":"article-journal","abstract":"Actinorhizal plants form a symbiotic association with the nitrogen-fixing actinobacteria Frankia. These plants have important economic and ecological benefits including land reclamation, soil stabilization, and reforestation. Recently, many non-Frankia actinobacteria have been isolated from actinorhizal root nodules suggesting that they might contribute to nodulation. Two Nocardia strains, BMG51109 and BMG111209, were isolated from Casuarina glauca nodules, and they induced root nodule-like structures in original host plant promoting seedling growth. The formed root nodule-like structures lacked a nodular root at the apex, were not capable of reducing nitrogen and had their cortical cells occupied with rod-shaped Nocardiae cells. Both Nocardia strains induced root hair deformation on the host plant. BMG111209 strain induced the expression of the ProCgNin:Gus gene, a plant gene involved in the early steps of the infection process and nodulation development. Nocardia strain BMG51109 produced three types of auxins (Indole-3-acetic acid [IAA], Indole-3-Byturic Acid [IBA] and Phenyl Acetic Acid [PAA]), while Nocardia BMG111209 only produced IAA. Analysis of the Nocardia genomes identified several important predicted biosynthetic gene clusters for plant phytohormones, secondary metabolites, and novel natural products. Co-infection studies showed that Nocardia strain BMG51109 plays a role as a “helper bacteria” promoting an earlier onset of nodulation. This study raises many questions on the ecological significance and functionality of Nocardia bacteria in actinorhizal symbioses.","container-title":"Antonie van Leeuwenhoek","DOI":"10.1007/s10482-018-1147-0","ISSN":"1572-9699","issue":"1","journalAbbreviation":"Antonie van Leeuwenhoek","language":"en","page":"75-90","source":"Springer Link","title":"The plant-growth-promoting actinobacteria of the genus Nocardia induces root nodule formation in Casuarina glauca","volume":"112","author":[{"family":"Ghodhbane-Gtari","given":"Faten"},{"family":"Nouioui","given":"Imen"},{"family":"Hezbri","given":"Karima"},{"family":"Lundstedt","given":"Emily"},{"family":"D’Angelo","given":"Timothy"},{"family":"McNutt","given":"Zakkary"},{"family":"Laplaze","given":"Laurent"},{"family":"Gherbi","given":"Hassen"},{"family":"Vaissayre","given":"Virginie"},{"family":"Svistoonoff","given":"Sergio"},{"family":"Ahmed","given":"Hela","dropping-particle":"ben"},{"family":"Boudabous","given":"Abdelatif"},{"family":"Tisa","given":"Louis S."}],"issued":{"date-parts":[["2019",1,1]]}}},{"id":785,"uris":["http://zotero.org/users/local/ahqjqVuV/items/VU9FY23R"],"itemData":{"id":785,"type":"article-journal","abstract":"In many areas of developing countries, agriculture soil is irrigated with water from drains contaminated with industrial wastewater that contains many toxic substances including arsenic. Such sites could be explored for arsenic-resistant plant growth-promoting microbes. Ten arsenic-resistant bacteria were isolated from such a site and were characterized. Their ability to resist and reduce/oxidize arsenic was determined. The bacteria were also analyzed for plant growth-promoting abilities such as auxin and hydrogen cyanide production, phosphate solubilization, and nitrogen fixation. The effect of these bacteria on plant growth was determined using Vigna radiata both in presence and absence of arsenic. Bacterial isolates S254 and S255 showed maximum resistance against arsenic; up to 225 mM of As(V) and 25 mM of As(III). The phylogenetic analysis revealed that strain S254 belonged to the species Pseudoxanthomonas mexicana and strain S255 belonged to the species Stenotrophomonas maltophilia. Both P. mexicana S254 and S. maltophilia S255 showed positive results for hydrogen cyanide production, auxin production, and nitrogen fixation. P. mexicana S254 produced auxin at a concentration of 14.15 µg mL−1 and S. maltophilia S255 produced auxin as high as 68.75 µg mL−1. Both the bacteria-enhanced the growth of V. radiata and a statistically significant increase in shoot and root lengths was observed both in the presence and absence of arsenic. The application of such bacteria could be helpful for the growth of plants in arsenic-contaminated lands.","container-title":"Sustainability","DOI":"10.3390/su141710697","ISSN":"2071-1050","issue":"17","language":"en","license":"http://creativecommons.org/licenses/by/3.0/","note":"number: 17\npublisher: Multidisciplinary Digital Publishing Institute","page":"10697","source":"www.mdpi.com","title":"Arsenic-Resistant Plant Growth Promoting Pseudoxanthomonas mexicana S254 and Stenotrophomonas maltophilia S255 Isolated from Agriculture Soil Contaminated by Industrial Effluent","volume":"14","author":[{"family":"Huda","given":"Noor","dropping-particle":"ul"},{"family":"Tanvir","given":"Rabia"},{"family":</w:instrText>
      </w:r>
      <w:r w:rsidRPr="00FF622B">
        <w:rPr>
          <w:highlight w:val="yellow"/>
          <w:lang w:val="fr-FR"/>
        </w:rPr>
        <w:instrText xml:space="preserve">"Badar","given":"Javaria"},{"family":"Ali","given":"Iftikhar"},{"family":"Rehman","given":"Yasir"}],"issued":{"date-parts":[["2022",1]]}}},{"id":558,"uris":["http://zotero.org/users/local/ahqjqVuV/items/4FD35KLB"],"itemData":{"id":558,"type":"article-journal","abstract":"The metabolic capacity for nitrogen fixation is known to be present in several prokaryotic species scattered across taxonomic groups. Experimental detection of nitrogen fixation in microbes requires species-specific conditions, making it difficult to obtain a comprehensive census of this trait. The recent and rapid increase in the availability of microbial genome sequences affords novel opportunities to re-examine the occurrence and distribution of nitrogen fixation genes. The current practice for computational prediction of nitrogen fixation is to use the presence of the nifH and/or nifD genes.","container-title":"BMC Genomics","DOI":"10.1186/1471-2164-13-162","ISSN":"1471-2164","issue":"1","journalAbbreviation":"BMC Genomics","page":"162","source":"BioMed Central","title":"Distribution of nitrogen fixation and nitrogenase-like sequences amongst microbial genomes","volume":"13","author":[{"family":"Dos Santos","given":"Patricia C."},{"family":"Fang","given":"Zhong"},{"family":"Mason","given":"Steven W."},{"family":"Setubal","given":"João C."},{"family":"Dixon","given":"Ray"}],"issued":{"date-parts":[["2012",5,3]]}}}],"schema":"https://github.com/citation-style-language/schema/raw/master/csl-citation.json"} </w:instrText>
      </w:r>
      <w:r w:rsidRPr="00C13637">
        <w:rPr>
          <w:highlight w:val="yellow"/>
        </w:rPr>
        <w:fldChar w:fldCharType="separate"/>
      </w:r>
      <w:r w:rsidRPr="00FF622B">
        <w:rPr>
          <w:highlight w:val="yellow"/>
          <w:lang w:val="fr-FR"/>
        </w:rPr>
        <w:t>(Dos Santos et al., 2012; Ghodhbane-Gtari et al., 2019; Huda et al., 2022)</w:t>
      </w:r>
      <w:r w:rsidRPr="00C13637">
        <w:rPr>
          <w:highlight w:val="yellow"/>
        </w:rPr>
        <w:fldChar w:fldCharType="end"/>
      </w:r>
      <w:r w:rsidRPr="00FF622B">
        <w:rPr>
          <w:highlight w:val="yellow"/>
          <w:lang w:val="fr-FR"/>
        </w:rPr>
        <w:t xml:space="preserve">. </w:t>
      </w:r>
      <w:r w:rsidRPr="00C13637">
        <w:rPr>
          <w:highlight w:val="yellow"/>
        </w:rPr>
        <w:t xml:space="preserve">These families accounted for 77% of the sequences which is high compared to the </w:t>
      </w:r>
      <w:r w:rsidRPr="00C13637">
        <w:rPr>
          <w:i/>
          <w:highlight w:val="yellow"/>
        </w:rPr>
        <w:t>nifH</w:t>
      </w:r>
      <w:r w:rsidRPr="00C13637">
        <w:rPr>
          <w:highlight w:val="yellow"/>
        </w:rPr>
        <w:t xml:space="preserve">/16S rDNA ratio of less than 0.01 at the same time point. This suggests that either the </w:t>
      </w:r>
      <w:r w:rsidRPr="00C13637">
        <w:rPr>
          <w:i/>
          <w:highlight w:val="yellow"/>
        </w:rPr>
        <w:t>nifH</w:t>
      </w:r>
      <w:r w:rsidRPr="00C13637">
        <w:rPr>
          <w:highlight w:val="yellow"/>
        </w:rPr>
        <w:t xml:space="preserve"> primers were not adapted to these specific species or that the species found at this point did not possess the genes for nitrogenases. As the H</w:t>
      </w:r>
      <w:r w:rsidRPr="00C13637">
        <w:rPr>
          <w:highlight w:val="yellow"/>
          <w:vertAlign w:val="subscript"/>
        </w:rPr>
        <w:t>2</w:t>
      </w:r>
      <w:r w:rsidRPr="00C13637">
        <w:rPr>
          <w:highlight w:val="yellow"/>
        </w:rPr>
        <w:t>E pre-enrichment cultures started on a medium containing NH</w:t>
      </w:r>
      <w:r w:rsidRPr="00C13637">
        <w:rPr>
          <w:highlight w:val="yellow"/>
          <w:vertAlign w:val="subscript"/>
        </w:rPr>
        <w:t>4</w:t>
      </w:r>
      <w:r w:rsidRPr="00C13637">
        <w:rPr>
          <w:highlight w:val="yellow"/>
        </w:rPr>
        <w:t>Cl, the presence of this source of nitrogen was likely favorable to the growth of non-diazotrophic bacteria.</w:t>
      </w:r>
    </w:p>
    <w:p w14:paraId="55446762" w14:textId="2EFE7CA7" w:rsidR="008E52F5" w:rsidRPr="00C13637" w:rsidRDefault="008E52F5" w:rsidP="00C13637">
      <w:pPr>
        <w:pStyle w:val="PCJtext"/>
      </w:pPr>
      <w:r w:rsidRPr="00C13637">
        <w:rPr>
          <w:highlight w:val="yellow"/>
        </w:rPr>
        <w:t xml:space="preserve">After 214 days of enrichment, PCE communities were affiliated to </w:t>
      </w:r>
      <w:r w:rsidRPr="00C13637">
        <w:rPr>
          <w:i/>
          <w:highlight w:val="yellow"/>
        </w:rPr>
        <w:t>Peptococcaceae</w:t>
      </w:r>
      <w:r w:rsidRPr="00C13637">
        <w:rPr>
          <w:highlight w:val="yellow"/>
        </w:rPr>
        <w:t xml:space="preserve"> (29% in average), </w:t>
      </w:r>
      <w:r w:rsidRPr="00C13637">
        <w:rPr>
          <w:i/>
          <w:highlight w:val="yellow"/>
        </w:rPr>
        <w:t>Xanthomonadaceae</w:t>
      </w:r>
      <w:r w:rsidRPr="00C13637">
        <w:rPr>
          <w:highlight w:val="yellow"/>
        </w:rPr>
        <w:t xml:space="preserve"> (18% in average), </w:t>
      </w:r>
      <w:r w:rsidRPr="00C13637">
        <w:rPr>
          <w:i/>
          <w:highlight w:val="yellow"/>
        </w:rPr>
        <w:t>Rhodospirillaceae</w:t>
      </w:r>
      <w:r w:rsidRPr="00C13637">
        <w:rPr>
          <w:highlight w:val="yellow"/>
        </w:rPr>
        <w:t xml:space="preserve"> (11% in PCE 2, </w:t>
      </w:r>
      <w:r w:rsidRPr="00C13637">
        <w:rPr>
          <w:i/>
          <w:highlight w:val="yellow"/>
        </w:rPr>
        <w:t>Azospirillum</w:t>
      </w:r>
      <w:r w:rsidRPr="00C13637">
        <w:rPr>
          <w:highlight w:val="yellow"/>
        </w:rPr>
        <w:t xml:space="preserve">) and </w:t>
      </w:r>
      <w:r w:rsidRPr="00C13637">
        <w:rPr>
          <w:i/>
          <w:highlight w:val="yellow"/>
        </w:rPr>
        <w:t>Comamonadaceae</w:t>
      </w:r>
      <w:r w:rsidRPr="00C13637">
        <w:rPr>
          <w:highlight w:val="yellow"/>
        </w:rPr>
        <w:t xml:space="preserve"> (10% in average) as presented in </w:t>
      </w:r>
      <w:r w:rsidR="00C13637">
        <w:rPr>
          <w:highlight w:val="yellow"/>
        </w:rPr>
        <w:t>F</w:t>
      </w:r>
      <w:r w:rsidRPr="00C13637">
        <w:rPr>
          <w:highlight w:val="yellow"/>
        </w:rPr>
        <w:t xml:space="preserve">igure 7. As seen in the PCA presented </w:t>
      </w:r>
      <w:r w:rsidRPr="00C13637">
        <w:rPr>
          <w:highlight w:val="yellow"/>
        </w:rPr>
        <w:fldChar w:fldCharType="begin"/>
      </w:r>
      <w:r w:rsidRPr="00C13637">
        <w:rPr>
          <w:highlight w:val="yellow"/>
        </w:rPr>
        <w:instrText xml:space="preserve"> REF _Ref129081860 \h  \* MERGEFORMAT </w:instrText>
      </w:r>
      <w:r w:rsidRPr="00C13637">
        <w:rPr>
          <w:highlight w:val="yellow"/>
        </w:rPr>
      </w:r>
      <w:r w:rsidRPr="00C13637">
        <w:rPr>
          <w:highlight w:val="yellow"/>
        </w:rPr>
        <w:fldChar w:fldCharType="separate"/>
      </w:r>
      <w:r w:rsidRPr="00C13637">
        <w:rPr>
          <w:highlight w:val="yellow"/>
        </w:rPr>
        <w:t>Figure 6</w:t>
      </w:r>
      <w:r w:rsidRPr="00C13637">
        <w:rPr>
          <w:highlight w:val="yellow"/>
        </w:rPr>
        <w:fldChar w:fldCharType="end"/>
      </w:r>
      <w:r w:rsidRPr="00C13637">
        <w:rPr>
          <w:highlight w:val="yellow"/>
        </w:rPr>
        <w:t xml:space="preserve">b, </w:t>
      </w:r>
      <w:r w:rsidRPr="00C13637">
        <w:rPr>
          <w:i/>
          <w:highlight w:val="yellow"/>
        </w:rPr>
        <w:t>Rhodospirillaceae</w:t>
      </w:r>
      <w:r w:rsidRPr="00C13637">
        <w:rPr>
          <w:highlight w:val="yellow"/>
        </w:rPr>
        <w:t xml:space="preserve">, </w:t>
      </w:r>
      <w:r w:rsidRPr="00C13637">
        <w:rPr>
          <w:i/>
          <w:highlight w:val="yellow"/>
        </w:rPr>
        <w:t>Comamonadaceae</w:t>
      </w:r>
      <w:r w:rsidRPr="00C13637">
        <w:rPr>
          <w:highlight w:val="yellow"/>
        </w:rPr>
        <w:t xml:space="preserve">, </w:t>
      </w:r>
      <w:r w:rsidRPr="00C13637">
        <w:rPr>
          <w:i/>
          <w:highlight w:val="yellow"/>
        </w:rPr>
        <w:t>Enterobacteriaceae</w:t>
      </w:r>
      <w:r w:rsidRPr="00C13637">
        <w:rPr>
          <w:highlight w:val="yellow"/>
        </w:rPr>
        <w:t xml:space="preserve"> and </w:t>
      </w:r>
      <w:r w:rsidRPr="00C13637">
        <w:rPr>
          <w:i/>
          <w:highlight w:val="yellow"/>
        </w:rPr>
        <w:t>Xanthomonadaceae</w:t>
      </w:r>
      <w:r w:rsidRPr="00C13637">
        <w:rPr>
          <w:highlight w:val="yellow"/>
        </w:rPr>
        <w:t xml:space="preserve"> families are representative of the PCE cathode communities. </w:t>
      </w:r>
      <w:r w:rsidRPr="00C13637">
        <w:rPr>
          <w:i/>
          <w:highlight w:val="yellow"/>
        </w:rPr>
        <w:t>Peptococaccaceae</w:t>
      </w:r>
      <w:r w:rsidRPr="00C13637">
        <w:rPr>
          <w:highlight w:val="yellow"/>
        </w:rPr>
        <w:t xml:space="preserve"> appear to be shared with communities of H</w:t>
      </w:r>
      <w:r w:rsidRPr="00C13637">
        <w:rPr>
          <w:highlight w:val="yellow"/>
          <w:vertAlign w:val="subscript"/>
        </w:rPr>
        <w:t>2</w:t>
      </w:r>
      <w:r w:rsidRPr="00C13637">
        <w:rPr>
          <w:highlight w:val="yellow"/>
        </w:rPr>
        <w:t>-fed enrichment (H</w:t>
      </w:r>
      <w:r w:rsidRPr="00C13637">
        <w:rPr>
          <w:highlight w:val="yellow"/>
          <w:vertAlign w:val="subscript"/>
        </w:rPr>
        <w:t>2</w:t>
      </w:r>
      <w:r w:rsidRPr="00C13637">
        <w:rPr>
          <w:highlight w:val="yellow"/>
        </w:rPr>
        <w:t xml:space="preserve">E) bottles. As seen in </w:t>
      </w:r>
      <w:r w:rsidRPr="00C13637">
        <w:rPr>
          <w:highlight w:val="yellow"/>
        </w:rPr>
        <w:fldChar w:fldCharType="begin"/>
      </w:r>
      <w:r w:rsidRPr="00C13637">
        <w:rPr>
          <w:highlight w:val="yellow"/>
        </w:rPr>
        <w:instrText xml:space="preserve"> REF _Ref129081860 \h  \* MERGEFORMAT </w:instrText>
      </w:r>
      <w:r w:rsidRPr="00C13637">
        <w:rPr>
          <w:highlight w:val="yellow"/>
        </w:rPr>
      </w:r>
      <w:r w:rsidRPr="00C13637">
        <w:rPr>
          <w:highlight w:val="yellow"/>
        </w:rPr>
        <w:fldChar w:fldCharType="separate"/>
      </w:r>
      <w:r w:rsidRPr="00C13637">
        <w:rPr>
          <w:highlight w:val="yellow"/>
        </w:rPr>
        <w:t>Figure 6</w:t>
      </w:r>
      <w:r w:rsidRPr="00C13637">
        <w:rPr>
          <w:highlight w:val="yellow"/>
        </w:rPr>
        <w:fldChar w:fldCharType="end"/>
      </w:r>
      <w:r w:rsidRPr="00C13637">
        <w:rPr>
          <w:highlight w:val="yellow"/>
        </w:rPr>
        <w:t xml:space="preserve">a and </w:t>
      </w:r>
      <w:r w:rsidRPr="00C13637">
        <w:rPr>
          <w:highlight w:val="yellow"/>
        </w:rPr>
        <w:fldChar w:fldCharType="begin"/>
      </w:r>
      <w:r w:rsidRPr="00C13637">
        <w:rPr>
          <w:highlight w:val="yellow"/>
        </w:rPr>
        <w:instrText xml:space="preserve"> REF _Ref137733335 \h  \* MERGEFORMAT </w:instrText>
      </w:r>
      <w:r w:rsidRPr="00C13637">
        <w:rPr>
          <w:highlight w:val="yellow"/>
        </w:rPr>
      </w:r>
      <w:r w:rsidRPr="00C13637">
        <w:rPr>
          <w:highlight w:val="yellow"/>
        </w:rPr>
        <w:fldChar w:fldCharType="separate"/>
      </w:r>
      <w:r w:rsidRPr="00C13637">
        <w:rPr>
          <w:highlight w:val="yellow"/>
        </w:rPr>
        <w:t>Figure 7</w:t>
      </w:r>
      <w:r w:rsidRPr="00C13637">
        <w:rPr>
          <w:highlight w:val="yellow"/>
        </w:rPr>
        <w:fldChar w:fldCharType="end"/>
      </w:r>
      <w:r w:rsidRPr="00C13637">
        <w:rPr>
          <w:highlight w:val="yellow"/>
        </w:rPr>
        <w:t>, a clear shift in microbial communities from the end of pre-enrichment was therefore observed as the difference between PCE communities at 214 days and at the end of pre-enrichment.</w:t>
      </w:r>
    </w:p>
    <w:p w14:paraId="31DFB78E" w14:textId="535B8916" w:rsidR="00CF5BB9" w:rsidRPr="00127A82" w:rsidRDefault="00643E01" w:rsidP="00127A82">
      <w:pPr>
        <w:pStyle w:val="PCJtext"/>
      </w:pPr>
      <w:r w:rsidRPr="00127A82">
        <w:t xml:space="preserve">Only </w:t>
      </w:r>
      <w:r w:rsidRPr="00C13637">
        <w:rPr>
          <w:i/>
        </w:rPr>
        <w:t>Enterobacteriaceae</w:t>
      </w:r>
      <w:r w:rsidRPr="00127A82">
        <w:t xml:space="preserve"> family was maintained although at minor relative abundance. Members of </w:t>
      </w:r>
      <w:r w:rsidRPr="00C13637">
        <w:rPr>
          <w:i/>
        </w:rPr>
        <w:t>Clostridiales incertae sedis</w:t>
      </w:r>
      <w:r w:rsidRPr="00127A82">
        <w:t xml:space="preserve"> absent from original inoculum also appeared on polarized cathode. These families are known to exhibit the role of plant growth promoting bacteria (PGPB). These communities could thus be beneficial when used as living fertilizers </w:t>
      </w:r>
      <w:r w:rsidRPr="00127A82">
        <w:fldChar w:fldCharType="begin"/>
      </w:r>
      <w:r w:rsidRPr="00127A82">
        <w:instrText xml:space="preserve"> ADDIN ZOTERO_ITEM CSL_CITATION {"citationID":"adk2sE8M","properties":{"formattedCitation":"(Cassan &amp; Garc\\uc0\\u237{}a de Salamone, 2008; Rojas-Tapias et al., 2012; Singh et al., n.d.)","plainCitation":"(Cassan &amp; García de Salamone, 2008; Rojas-Tapias et al., 2012; Singh et al., n.d.)","noteIndex":0},"citationItems":[{"id":756,"uris":["http://zotero.org/users/local/ahqjqVuV/items/DUGMUEYQ"],"itemData":{"id":756,"type":"article-journal","abstract":"Our objective was to evaluate the role of Azotobacter strains to protect maize plants against salt damage. Four candidate Azotobacter strains were evaluated, and the two most tolerant to salinity (C5 and C9) were selected for further studies. They were phylogenetically related to Azotobacter chroococcum based on their 16S rDNA sequences. Strains were inoculated on maize roots growing in sterilized soil under different salinity conditions (0, 2.93 and 5.85g NaCl/kg soil). After 4 weeks plant biomass (length and weight), ion uptake (Na+, K+, Ca2+, Mg2+), chlorophyll content, and accumulation of proline and polyphenols were evaluated. Strains C5 and C9 fixed nitrogen and solubilized phosphate regardless of NaCl concentration in most cases, while auxins were synthesized by C5 only under conditions of salinity. In pot experiments, plant growth was promoted by bacterial inoculation only at 2.93 and 5.85g NaCl/kg soil (P&lt;0.05). Bacteria improved Na+ exclusion and K+ uptake in maize, thereby increasing their K+/Na+ ratio. Content of polyphenol and chlorophyll was enhanced by inoculation with strains C5 and C9. The concentration of proline in leaves was increased by salinity, but was decreased when C5 and C9 were used as inoculants. The present observations showed that strains C5 and C9 partially alleviated the saline stress in maize, likely through the integration of several mechanisms that improve the plant response. Hence, the use of nitrogen-fixing plant growth-promoting bacteria may represent an important biotechnological approach to decrease the impact of salinity in crops.","collection-title":"Microorganisms and the Sustainable Management of Soil","container-title":"Applied Soil Ecology","DOI":"10.1016/j.apsoil.2012.01.006","ISSN":"0929-1393","journalAbbreviation":"Applied Soil Ecology","language":"en","page":"264-272","source":"ScienceDirect","title":"Effect of inoculation with plant growth-promoting bacteria (PGPB) on amelioration of saline stress in maize (Zea mays)","volume":"61","author":[{"family":"Rojas-Tapias","given":"Daniel"},{"family":"Moreno-Galván","given":"Andrés"},{"family":"Pardo-Díaz","given":"Sergio"},{"family":"Obando","given":"Melissa"},{"family":"Rivera","given":"Diego"},{"family":"Bonilla","given":"Ruth"}],"issued":{"date-parts":[["2012",10,1]]}}},{"id":495,"uris":["http://zotero.org/users/local/ahqjqVuV/items/9P9CG2XT"],"itemData":{"id":495,"type":"article-journal","abstract":"Sugarcane is a leading biofuel crop besides being a source of crystal sugar and biomaterials worldwide. This study chieﬂy focuses on the role of diazotrophic bacteria isolated from sugarcane rhizosphere exhibiting diﬀerent plant growth-promoting traits and biocontrol activities. Several bacterial isolates were obtained from the rhizosphere soil samples of four sugarcane cultivars. Out of these, 23 strains were selected and identiﬁed by 16S rRNA gene sequencing which conﬁrmed diﬀerent PGP-traits, biocontrol, and nitrogenase activities with nifH gene ampliﬁcation. Two prominent strains, Kosakonia radicincitans-BA1 and Stenotrophomonas maltophilia-COA2 were selected for further analysis. Biolog plate assay was used to establish the utilization of various carbon and nitrogen sources and pH and osmotic stress tolerance for both strains. Colonization of selected strains in the sugarcane plant was observed by scanning electron microscopy and confocal laser scanning microscopy exhibited</w:instrText>
      </w:r>
      <w:r w:rsidRPr="00C13637">
        <w:rPr>
          <w:lang w:val="fr-FR"/>
        </w:rPr>
        <w:instrText xml:space="preserve"> bacterial cells were frequently located in sugarcane tissues. Inoculation of the strains in GT11 and GXB9 cultivars led to a signi</w:instrText>
      </w:r>
      <w:r w:rsidRPr="00127A82">
        <w:instrText>ﬁ</w:instrText>
      </w:r>
      <w:r w:rsidRPr="00C13637">
        <w:rPr>
          <w:lang w:val="fr-FR"/>
        </w:rPr>
        <w:instrText xml:space="preserve">cant increase in growth parameters, nitrogen content, expression of nifH, and stress-related genes under greenhouse conditions. This is the </w:instrText>
      </w:r>
      <w:r w:rsidRPr="00127A82">
        <w:instrText>ﬁ</w:instrText>
      </w:r>
      <w:r w:rsidRPr="00C13637">
        <w:rPr>
          <w:lang w:val="fr-FR"/>
        </w:rPr>
        <w:instrText>rst study to explore K. radicincitans and S. maltophilia as nitrogen-</w:instrText>
      </w:r>
      <w:r w:rsidRPr="00127A82">
        <w:instrText>ﬁ</w:instrText>
      </w:r>
      <w:r w:rsidRPr="00C13637">
        <w:rPr>
          <w:lang w:val="fr-FR"/>
        </w:rPr>
        <w:instrText xml:space="preserve">xing plant growth-promoting rhizobacteria in sugarcane for disease management and reduce the practice of chemical fertilizers.","language":"en","page":"20","source":"Zotero","title":"Plant-PGPR interaction study of plant growth-promoting diazotrophs Kosakonia radicincitans BA1 and S","author":[{"family":"Singh","given":"Rajesh Kumar"},{"family":"Singh","given":"Pratiksha"},{"family":"Li","given":"Hai-Bi"},{"family":"Guo","given":"Dao-Jun"},{"family":"Song","given":"Qi-Qi"},{"family":"Yang","given":"Tao"},{"family":"Malviya","given":"Mukesh Kumar"},{"family":"Song","given":"Xiu-Peng"},{"family":"Li","given":"Yang-Rui"}]}},{"id":736,"uris":["http://zotero.org/users/local/ahqjqVuV/items/7NHWA3R7"],"itemData":{"id":736,"type":"book","ISBN":"978-987-98475-8-9","source":"ResearchGate","title":"Azospirillum: Cell physiology, plant response, agronomic and environmental research in Argentina","title-short":"Azospirillum","author":[{"family":"Cassan","given":"Fabricio"},{"family":"García de Salamone","given":"Ines"}],"issued":{"date-parts":[["2008",1,1]]}}}],"schema":"https://github.com/citation-style-language/schema/raw/master/csl-citation.json"} </w:instrText>
      </w:r>
      <w:r w:rsidRPr="00127A82">
        <w:fldChar w:fldCharType="separate"/>
      </w:r>
      <w:r w:rsidRPr="00C13637">
        <w:rPr>
          <w:lang w:val="fr-FR"/>
        </w:rPr>
        <w:t>(Cassan &amp; García de Salamone, 2008; Rojas-Tapias et al., 2012; Singh et al., n.d.)</w:t>
      </w:r>
      <w:r w:rsidRPr="00127A82">
        <w:fldChar w:fldCharType="end"/>
      </w:r>
      <w:r w:rsidRPr="00127A82">
        <w:t>.</w:t>
      </w:r>
      <w:r w:rsidRPr="00C13637">
        <w:t xml:space="preserve"> </w:t>
      </w:r>
      <w:r w:rsidR="008E52F5" w:rsidRPr="00C13637">
        <w:rPr>
          <w:highlight w:val="yellow"/>
        </w:rPr>
        <w:t xml:space="preserve">The </w:t>
      </w:r>
      <w:r w:rsidR="008E52F5" w:rsidRPr="00C13637">
        <w:rPr>
          <w:i/>
          <w:highlight w:val="yellow"/>
        </w:rPr>
        <w:t>Comamonadaceae</w:t>
      </w:r>
      <w:r w:rsidR="008E52F5" w:rsidRPr="00C13637">
        <w:rPr>
          <w:highlight w:val="yellow"/>
        </w:rPr>
        <w:t xml:space="preserve"> as well as the </w:t>
      </w:r>
      <w:r w:rsidR="008E52F5" w:rsidRPr="00C13637">
        <w:rPr>
          <w:i/>
          <w:highlight w:val="yellow"/>
        </w:rPr>
        <w:t>Enterobacteriaceae</w:t>
      </w:r>
      <w:r w:rsidR="008E52F5" w:rsidRPr="00C13637">
        <w:rPr>
          <w:highlight w:val="yellow"/>
        </w:rPr>
        <w:t xml:space="preserve"> families mostly include heterotrophic species, which would be consistent with our hypotheses about the existence of interactions between heterotrophic and autotrophic populations </w:t>
      </w:r>
      <w:r w:rsidR="008E52F5" w:rsidRPr="00C13637">
        <w:rPr>
          <w:highlight w:val="yellow"/>
        </w:rPr>
        <w:fldChar w:fldCharType="begin"/>
      </w:r>
      <w:r w:rsidR="00F870B6">
        <w:rPr>
          <w:highlight w:val="yellow"/>
        </w:rPr>
        <w:instrText xml:space="preserve"> ADDIN ZOTERO_ITEM CSL_CITATION {"citationID":"FycsXC4G","properties":{"formattedCitation":"(F. Liu et al., 2011; Wu et al., 2018)","plainCitation":"(F. Liu et al., 2011; Wu et al., 2018)","noteIndex":0},"citationItems":[{"id":642,"uris":["http://zotero.org/users/local/ahqjqVuV/items/2K8CXLYW"],"itemData":{"id":642,"type":"article-journal","abstract":"Comamonas is often reported to be one of the major members of microbial communities in various natural and engineered environments. Versatile catabolic capabilities of Comamonas have been studied extensively in the last decade. In contrast, little is known about the ecological roles and adaptation of Comamonas to different environments as well as the virulence of potentially pathogenic Comamonas strains. In this study, we provide genomic insights into the potential ecological roles and virulence of Comamonas by analysing the entire gene set (pangenome) and the genes present in all genomes (core genome) using 34 genomes of 11 different Comamonas species. The analyses revealed that the metabolic pathways enabling Comamonas to acquire energy from various nutrient sources are well conserved. Genes for denitrification and ammonification are abundant in Comamonas, suggesting that Comamonas plays an important role in the nitrogen biogeochemical cycle. They also encode sophisticated redox sensory systems and diverse c-di-GMP controlling systems, allowing them to be able to effectively adjust their biofilm lifestyle to changing environments. The virulence factors in Comamonas were found to be highly species-specific. The conserved strategies used by potentially pathogenic Comamonas for surface adherence, motility control, nutrient acquisition and stress tolerance were also revealed.","container-title":"Frontiers in Microbiology","DOI":"10.3389/fmicb.2018.03096","ISSN":"1664-302X","journalAbbreviation":"Front Microbiol","note":"PMID: 30619175\nPMCID: PMC6299040","page":"3096","source":"PubMed Central","title":"The Core- and Pan-Genomic Analyses of the Genus Comamonas: From Environmental Adaptation to Potential Virulence","title-short":"The Core- and Pan-Genomic Analyses of the Genus Comamonas","volume":"9","author":[{"family":"Wu","given":"Yichao"},{"family":"Zaiden","given":"Norazean"},{"family":"Cao","given":"Bin"}],"issued":{"date-parts":[["2018",12,12]]}}},{"id":849,"uris":["http://zotero.org/users/local/ahqjqVuV/items/UF6C444V"],"itemData":{"id":849,"type":"article-journal","abstract":"Understanding the influence of nutrient levels on biofouling control is an important requirement for management strategies in a recirculating cooling water system. Nutrient limitation may be one way to control biofouling development without increasing biocide dosing. Therefore, this study was carried out to investigate the effects of nutrient levels on biofouling characteristics and to identify the preponderant bacteria in the batch tests with a simulated cooling water system. The biofouling characteristics were assessed by varying the biofoulant mass and the bacteria respiratory activity, which was estimated by measuring oxygen uptake rates. According to the results obtained in nutrient factor experiments, the biofouling could be better controlled at carbon, nitrogen and phosphorus concentrations of 30 mg N/L, 8 mg N/L and 1.0 mg P/L, respectively. Increasing carbon concentrations shortened the biofouling initial growth period and resulted in higher biofoulant mass. The preponderant bacteria strains involved in biofouling under two culture conditions were identified by applying both physiological and biochemical tests and further molecular biology techniques with phylogenetic affiliation analysis. Enterobacter (family Enterobacteriaceae), Staphylococcus (family Micrococcaceae), Bacillus (family Bacillaceae), Proteus (family Enterobacteriaceae), Neisseria (family Neisseriaceae) and Pseudomonas (family Pseudomonadaceae) were dominant in the conditions of lower carbon concentration (30 mg/L). Enterobacter are autotrophs, but the other five bacteria are all heterotrophs. In the conditions of higher carbon concentration (70 mg/L), Klebsiella (family Enterobacteriaceae), Enterobacter and Microbacterium (family Microbacteriaceae) were dominant; Enterobacter and Microbacterium are heterotrophs.","container-title":"Environmental Technology","DOI":"10.1080/09593330.2010.517220","ISSN":"0959-3330","issue":"8","note":"publisher: Taylor &amp; Francis\n_eprint: https://doi.org/10.1080/09593330.2010.517220\nPMID: 21879565","page":"901-910","source":"Taylor and Francis+NEJM","title":"Biofouling characteristics and identification of preponderant bacteria at different nutrient levels in batch tests of a recirculating cooling water system","volume":"32","author":[{"family":"Liu","given":"Fang"},{"family":"Zhao","given":"Chao‐Cheng"},{"family":"Xia","given":"Lu"},{"family":"Yang","given":"Fei"},{"family":"Chang","given":"Xin"},{"family":"Wang","given":"Yong‐Qiang"}],"issued":{"date-parts":[["2011",6,1]]}}}],"schema":"https://github.com/citation-style-language/schema/raw/master/csl-citation.json"} </w:instrText>
      </w:r>
      <w:r w:rsidR="008E52F5" w:rsidRPr="00C13637">
        <w:rPr>
          <w:highlight w:val="yellow"/>
        </w:rPr>
        <w:fldChar w:fldCharType="separate"/>
      </w:r>
      <w:r w:rsidR="00F870B6" w:rsidRPr="00F870B6">
        <w:rPr>
          <w:rFonts w:ascii="Calibri" w:hAnsi="Calibri" w:cs="Calibri"/>
          <w:highlight w:val="yellow"/>
        </w:rPr>
        <w:t>(F. Liu et al., 2011; Wu et al., 2018)</w:t>
      </w:r>
      <w:r w:rsidR="008E52F5" w:rsidRPr="00C13637">
        <w:rPr>
          <w:highlight w:val="yellow"/>
        </w:rPr>
        <w:fldChar w:fldCharType="end"/>
      </w:r>
      <w:r w:rsidRPr="00127A82">
        <w:t xml:space="preserve">. More precisely, the </w:t>
      </w:r>
      <w:r w:rsidRPr="00C13637">
        <w:rPr>
          <w:i/>
        </w:rPr>
        <w:t>Peptococcaceae</w:t>
      </w:r>
      <w:r w:rsidRPr="00127A82">
        <w:t xml:space="preserve"> sequences were affiliated to species </w:t>
      </w:r>
      <w:r w:rsidRPr="00C13637">
        <w:rPr>
          <w:i/>
        </w:rPr>
        <w:t xml:space="preserve">Desulforamulus ruminis </w:t>
      </w:r>
      <w:r w:rsidRPr="00127A82">
        <w:t>(&gt;98%). This species was already described for their ability to fix N</w:t>
      </w:r>
      <w:r w:rsidRPr="00127A82">
        <w:rPr>
          <w:vertAlign w:val="subscript"/>
        </w:rPr>
        <w:t>2</w:t>
      </w:r>
      <w:r w:rsidRPr="00127A82">
        <w:t xml:space="preserve"> </w:t>
      </w:r>
      <w:r w:rsidRPr="00127A82">
        <w:fldChar w:fldCharType="begin"/>
      </w:r>
      <w:r w:rsidRPr="00127A82">
        <w:instrText xml:space="preserve"> ADDIN ZOTERO_ITEM CSL_CITATION {"citationID":"vxzFOAV6","properties":{"formattedCitation":"(Postgate, 1970)","plainCitation":"(Postgate, 1970)","noteIndex":0},"citationItems":[{"id":842,"uris":["http://zotero.org/users/local/ahqjqVuV/items/DPEEXZBT"],"itemData":{"id":842,"type":"article-journal","abstract":"The acetylene test for nitrogen fixation has been an important tool in reassessing the ability of various groups of micro-organisms to fix nitrogen (Parejko &amp;amp; Wilson, 1968; Millbank, 1969; Hill &amp;amp; Postgate, 1969). As a result of this reassessment, it has been found that several aerobic genera such as Azotomonas, Pseudomonas, Nocardia, Pullularia and yeasts probably do not fix N2; on the other hand, nitrogen fixation has proved to be far more widespread among the sulphate-reducing bacteria of the genus Desulfovibrio than was earlier thought (Reiderer-Henderson &amp;amp; Wilson, 1970). This communication reports evidence for fixation by type strains of mesophilic, spore-forming, sulphate-reducing bacteria, genus Desulfotomaculum (Campbell &amp;amp; Postgate, 1965), including strains originating from the rumens of hay-fed sheep. Some data with type strains of Desulfovibrio are included to supplement the findings of Reiderer-Henderson &amp;amp; Wilson (1970).","container-title":"Microbiology","DOI":"10.1099/00221287-63-1-137","ISSN":"1465-2080","issue":"1","note":"publisher: Microbiology Society,","page":"137-139","source":"Microbiology Society Journals","title":"Nitrogen Fixation by Sporulating Sulphate-reducing Bacteria Including Rumen Strains","volume":"63","author":[{"family":"Postgate","given":"J. R."}],"issued":{"date-parts":[["1970"]]}}}],"schema":"https://github.com/citation-style-language/schema/raw/master/csl-citation.json"} </w:instrText>
      </w:r>
      <w:r w:rsidRPr="00127A82">
        <w:fldChar w:fldCharType="separate"/>
      </w:r>
      <w:r w:rsidRPr="00127A82">
        <w:t>(Postgate, 1970)</w:t>
      </w:r>
      <w:r w:rsidRPr="00127A82">
        <w:fldChar w:fldCharType="end"/>
      </w:r>
      <w:r w:rsidRPr="00127A82">
        <w:t xml:space="preserve">. The </w:t>
      </w:r>
      <w:r w:rsidRPr="00C13637">
        <w:rPr>
          <w:i/>
        </w:rPr>
        <w:t>Desulforamulus</w:t>
      </w:r>
      <w:r w:rsidRPr="00127A82">
        <w:t xml:space="preserve"> and </w:t>
      </w:r>
      <w:r w:rsidRPr="00C13637">
        <w:rPr>
          <w:i/>
        </w:rPr>
        <w:t>Desulfotomaculum</w:t>
      </w:r>
      <w:r w:rsidRPr="00127A82">
        <w:t xml:space="preserve"> genera have also several species able to grow with H</w:t>
      </w:r>
      <w:r w:rsidRPr="00127A82">
        <w:rPr>
          <w:vertAlign w:val="subscript"/>
        </w:rPr>
        <w:t>2</w:t>
      </w:r>
      <w:r w:rsidRPr="00127A82">
        <w:t xml:space="preserve"> and CO</w:t>
      </w:r>
      <w:r w:rsidRPr="00127A82">
        <w:rPr>
          <w:vertAlign w:val="subscript"/>
        </w:rPr>
        <w:t>2</w:t>
      </w:r>
      <w:r w:rsidRPr="00127A82">
        <w:t xml:space="preserve"> as </w:t>
      </w:r>
      <w:r w:rsidRPr="00C13637">
        <w:rPr>
          <w:highlight w:val="yellow"/>
        </w:rPr>
        <w:t>e</w:t>
      </w:r>
      <w:r w:rsidR="00A573BE" w:rsidRPr="00C13637">
        <w:rPr>
          <w:highlight w:val="yellow"/>
        </w:rPr>
        <w:t>lectron</w:t>
      </w:r>
      <w:r w:rsidRPr="00127A82">
        <w:t xml:space="preserve"> and C sources </w:t>
      </w:r>
      <w:r w:rsidRPr="00127A82">
        <w:fldChar w:fldCharType="begin"/>
      </w:r>
      <w:r w:rsidRPr="00127A82">
        <w:instrText xml:space="preserve"> ADDIN ZOTERO_ITEM CSL_CITATION {"citationID":"Bh0oe5eS","properties":{"formattedCitation":"(Aullo et al., 2013; Klemps et al., 1985; Zaybak et al., 2013)","plainCitation":"(Aullo et al., 2013; Klemps et al., 1985; Zaybak et al., 2013)","noteIndex":0},"citationItems":[{"id":473,"uris":["http://zotero.org/users/local/ahqjqVuV/items/9AJI36YB"],"itemData":{"id":473,"type":"article-journal","abstract":"Gram-positive spore-forming sulfate reducers and particularly members of the genus Desulfotomaculum are commonly found in the subsurface biosphere by culture based and molecular approaches. Due to their metabolic versatility and their ability to persist as endospores. Desulfotomaculum spp. are well-adapted for colonizing environments through a slow sedimentation process. Because of their ability to grow autotrophically (H2/CO2) and produce sulfide or acetate, these microorganisms may play key roles in deep lithoautotrophic microbial communities. Available data about Desulfotomaculum spp. and related species from studies carried out from deep freshwater lakes, marine sediments, oligotrophic and organic rich deep geological settings are discussed in this review.","container-title":"Frontiers in Microbiology","ISSN":"1664-302X","source":"Frontiers","title":"Desulfotomaculum spp. and related gram-positive sulfate-reducing bacteria in deep subsurface environments","URL":"https://www.frontiersin.org/article/10.3389/fmicb.2013.00362","volume":"4","author":[{"family":"Aullo","given":"Thomas"},{"family":"Ranchou-Peyruse","given":"Anthony"},{"family":"Ollivier","given":"Bernard"},{"family":"Magot","given":"Michel"}],"accessed":{"date-parts":[["2022",5,16]]},"issued":{"date-parts":[["2013"]]}}},{"id":538,"uris":["http://zotero.org/users/local/ahqjqVuV/items/AAFS72JR"],"itemData":{"id":538,"type":"article-journal","abstract":"Growth of Desulfotomaculum orientis, D. ruminis, D. nigrificans and the Desulfotomaculum strains TEP, TWC and TWP, that were newly isolated with sulfate and fatty acids, was studied using defined mineral media. Four of these strains grew with hydrogen plus sulfate as the only energy source. Under these conditions the growth yield of D. orientis in batch culture was 7.5 g cell dry mass per mol sulfate reduced. Growth on methanol with growth yields of about 6 g cell dry mass per mol sulfate was obtained with D. orientis and strain TEP. All strains tested grew slowly with formate as electron donor. Fatty acids from propionate to palmitate were utilized by the strains TEP, TWC and TWP. D. orientis and the strains TEP and TWC were able to utilize the methoxyl groups of trimethoxybenzoate for growth. D. orientis was found to grow chemoautotrophically with hydrogen, carbon dioxide and sulfate; during growth with C1-compounds no additional organic carbon source was required. Furthermore, D. orientis was able to grow slowly in sulfate-free medium with formate, methanol, ethanol lactate, pyruvate or trimethoxybenzoate. Under these conditions acetate was excreted, indicating the function of carbon dioxide as electron acceptor in a homoacetogenic process. A growth-promoting effect of pyrophosphate added to the medium of Desulfotomaculum species was not observed. The results show a high catabolic and anabolic versatility among Desulfotomaculum species, and indicate that electron transport to sulfate can be the sole energy conserving process in this genus.","container-title":"Archives of Microbiology","DOI":"10.1007/BF00411048","ISSN":"1432-072X","issue":"2","journalAbbreviation":"Arch. Microbiol.","language":"en","page":"203-208","source":"Springer Link","title":"Growth with hydrogen, and further physiological characteristics of Desulfotomaculum species","volume":"143","author":[{"family":"Klemps","given":"Robert"},{"family":"Cypionka","given":"Heribert"},{"family":"Widdel","given":"Friedrich"},{"family":"Pfennig","given":"Norbert"}],"issued":{"date-parts":[["1985",11,1]]}}},{"id":450,"uris":["http://zotero.org/users/local/ahqjqVuV/items/4UKJM6WQ"],"itemData":{"id":450,"type":"article-journal","abstract":"Biocathodes in bioelectrochemical systems (BESs) can be used to convert CO2 into diverse organic compounds through a process called microbial electrosynthesis. Unfortunately, start-up of anaerobic biocathodes in BESs is a difficult and time consuming process. Here, a pre-enrichment method was developed to improve start-up of anaerobic facultatively autotrophic biocathodes capable of using cathodes as the electron donor (electrotrophs) and CO2 as the electron acceptor. Anaerobic enrichment of bacteria from freshwater bog sediment samples was first performed in batch cultures fed with glucose and then used to inoculate BES cathode chambers set at −0.4V (versus a standard hydrogen electrode; SHE). After two weeks of heterotrophic operation of BESs, CO2 was provided as the sole electron acceptor and carbon source. Consumption of electrons from cathodes increased gradually and was sustained for about two months in concert with a significant decrease in cathode chamber headspace CO2. The maximum current density consumed was −34±4mA/m2. Biosynthesis resulted in organic compounds that included butanol, ethanol, acetate, propionate, butyrate, and hydrogen gas. Bacterial community analyses based on 16S rRNA gene clone libraries revealed Trichococcus palustris DSM 9172 (99% sequence identity) as the prevailing species in biocathode communities, followed by Oscillibacter sp. and Clostridium sp. Isolates from autotrophic cultivation were most closely related to Clostridium propionicum (99% sequence identity; ZZ16), Clostridium celerecrescens (98–99%; ZZ22, ZZ23), Desulfotomaculum sp. (97%; ZZ21), and Tissierella sp. (98%; ZZ25). This pre-enrichment procedure enables simplified start-up of anaerobic biocathodes for applications such as electrofuel production by facultatively autotrophic electrotrophs.","container-title":"Journal of Biotechnology","DOI":"10.1016/j.jbiotec.2013.10.001","ISSN":"0168-1656","issue":"4","journalAbbreviation":"Journal of Biotechnology","language":"en","page":"478-485","source":"ScienceDirect","title":"Enhanced start-up of anaerobic facultatively autotrophic biocathodes in bioelectrochemical systems","volume":"168","author":[{"family":"Zaybak","given":"Zehra"},{"family":"Pisciotta","given":"John M."},{"family":"Tokash","given":"Justin C."},{"family":"Logan","given":"Bruce E."}],"issued":{"date-parts":[["2013",12,1]]}}}],"schema":"https://github.com/citation-style-language/schema/raw/master/csl-citation.json"} </w:instrText>
      </w:r>
      <w:r w:rsidRPr="00127A82">
        <w:fldChar w:fldCharType="separate"/>
      </w:r>
      <w:r w:rsidRPr="00127A82">
        <w:t>(Aullo et al., 2013; Klemps et al., 1985; Zaybak et al., 2013)</w:t>
      </w:r>
      <w:r w:rsidRPr="00127A82">
        <w:fldChar w:fldCharType="end"/>
      </w:r>
      <w:r w:rsidRPr="00127A82">
        <w:t>. They were previously reported to be able to produce acetate by CO</w:t>
      </w:r>
      <w:r w:rsidRPr="00127A82">
        <w:rPr>
          <w:vertAlign w:val="subscript"/>
        </w:rPr>
        <w:t>2</w:t>
      </w:r>
      <w:r w:rsidRPr="00127A82">
        <w:t xml:space="preserve"> reduction through the Calvin cycle </w:t>
      </w:r>
      <w:r w:rsidRPr="00127A82">
        <w:fldChar w:fldCharType="begin"/>
      </w:r>
      <w:r w:rsidRPr="00127A82">
        <w:instrText xml:space="preserve"> ADDIN ZOTERO_ITEM CSL_CITATION {"citationID":"2JTVbTOI","properties":{"formattedCitation":"(Klemps et al., 1985)","plainCitation":"(Klemps et al., 1985)","noteIndex":0},"citationItems":[{"id":538,"uris":["http://zotero.org/users/local/ahqjqVuV/items/AAFS72JR"],"itemData":{"id":538,"type":"article-journal","abstract":"Growth of Desulfotomaculum orientis, D. ruminis, D. nigrificans and the Desulfotomaculum strains TEP, TWC and TWP, that were newly isolated with sulfate and fatty acids, was studied using defined mineral media. Four of these strains grew with hydrogen plus sulfate as the only energy source. Under these conditions the growth yield of D. orientis in batch culture was 7.5 g cell dry mass per mol sulfate reduced. Growth on methanol with growth yields of about 6 g cell dry mass per mol sulfate was obtained with D. orientis and strain TEP. All strains tested grew slowly with formate as electron donor. Fatty acids from propionate to palmitate were utilized by the strains TEP, TWC and TWP. D. orientis and the strains TEP and TWC were able to utilize the methoxyl groups of trimethoxybenzoate for growth. D. orientis was found to grow chemoautotrophically with hydrogen, carbon dioxide and sulfate; during growth with C1-compounds no additional organic carbon source was required. Furthermore, D. orientis was able to grow slowly in sulfate-free medium with formate, methanol, ethanol lactate, pyruvate or trimethoxybenzoate. Under these conditions acetate was excreted, indicating the function of carbon dioxide as electron acceptor in a homoacetogenic process. A growth-promoting effect of pyrophosphate added to the medium of Desulfotomaculum species was not observed. The results show a high catabolic and anabolic versatility among Desulfotomaculum species, and indicate that electron transport to sulfate can be the sole energy conserving process in this genus.","container-title":"Archives of Microbiology","DOI":"10.1007/BF00411048","ISSN":"1432-072X","issue":"2","journalAbbreviation":"Arch. Microbiol.","language":"en","page":"203-208","source":"Springer Link","title":"Growth with hydrogen, and further physiological characteristics of Desulfotomaculum species","volume":"143","author":[{"family":"Klemps","given":"Robert"},{"family":"Cypionka","given":"Heribert"},{"family":"Widdel","given":"Friedrich"},{"family":"Pfennig","given":"Norbert"}],"issued":{"date-parts":[["1985",11,1]]}}}],"schema":"https://github.com/citation-style-language/schema/raw/master/csl-citation.json"} </w:instrText>
      </w:r>
      <w:r w:rsidRPr="00127A82">
        <w:fldChar w:fldCharType="separate"/>
      </w:r>
      <w:r w:rsidRPr="00127A82">
        <w:t>(Klemps et al., 1985)</w:t>
      </w:r>
      <w:r w:rsidRPr="00127A82">
        <w:fldChar w:fldCharType="end"/>
      </w:r>
      <w:r w:rsidRPr="00127A82">
        <w:t xml:space="preserve">, and some were already found in microbial electrochemical system on a biocathode producing acetate </w:t>
      </w:r>
      <w:r w:rsidRPr="00127A82">
        <w:fldChar w:fldCharType="begin"/>
      </w:r>
      <w:r w:rsidRPr="00127A82">
        <w:instrText xml:space="preserve"> ADDIN ZOTERO_ITEM CSL_CITATION {"citationID":"PTnogFzn","properties":{"formattedCitation":"(Zaybak et al., 2013)","plainCitation":"(Zaybak et al., 2013)","noteIndex":0},"citationItems":[{"id":450,"uris":["http://zotero.org/users/local/ahqjqVuV/items/4UKJM6WQ"],"itemData":{"id":450,"type":"article-journal","abstract":"Biocathodes in bioelectrochemical systems (BESs) can be used to convert CO2 into diverse organic compounds through a process called microbial electrosynthesis. Unfortunately, start-up of anaerobic biocathodes in BESs is a difficult and time consuming process. Here, a pre-enrichment method was developed to improve start-up of anaerobic facultatively autotrophic biocathodes capable of using cathodes as the electron donor (electrotrophs) and CO2 as the electron acceptor. Anaerobic enrichment of bacteria from freshwater bog sediment samples was first performed in batch cultures fed with glucose and then used to inoculate BES cathode chambers set at −0.4V (versus a standard hydrogen electrode; SHE). After two weeks of heterotrophic operation of BESs, CO2 was provided as the sole electron acceptor and carbon source. Consumption of electrons from cathodes increased gradually and was sustained for about two months in concert with a significant decrease in cathode chamber headspace CO2. The maximum current density consumed was −34±4mA/m2. Biosynthesis resulted in organic compounds that included butanol, ethanol, acetate, propionate, butyrate, and hydrogen gas. Bacterial community analyses based on 16S rRNA gene clone libraries revealed Trichococcus palustris DSM 9172 (99% sequence identity) as the prevailing species in biocathode communities, followed by Oscillibacter sp. and Clostridium sp. Isolates from autotrophic cultivation were most closely related to Clostridium propionicum (99% sequence identity; ZZ16), Clostridium celerecrescens (98–99%; ZZ22, ZZ23), Desulfotomaculum sp. (97%; ZZ21), and Tissierella sp. (98%; ZZ25). This pre-enrichment procedure enables simplified start-up of anaerobic biocathodes for applications such as electrofuel production by facultatively autotrophic electrotrophs.","container-title":"Journal of Biotechnology","DOI":"10.1016/j.jbiotec.2013.10.001","ISSN":"0168-1656","issue":"4","journalAbbreviation":"Journal of Biotechnology","language":"en","page":"478-485","source":"ScienceDirect","title":"Enhanced start-up of anaerobic facultatively autotrophic biocathodes in bioelectrochemical systems","volume":"168","author":[{"family":"Zaybak","given":"Zehra"},{"family":"Pisciotta","given":"John M."},{"family":"Tokash","given":"Justin C."},{"family":"Logan","given":"Bruce E."}],"issued":{"date-parts":[["2013",12,1]]}}}],"schema":"https://github.com/citation-style-language/schema/raw/master/csl-citation.json"} </w:instrText>
      </w:r>
      <w:r w:rsidRPr="00127A82">
        <w:fldChar w:fldCharType="separate"/>
      </w:r>
      <w:r w:rsidRPr="00127A82">
        <w:t>(Zaybak et al., 2013)</w:t>
      </w:r>
      <w:r w:rsidRPr="00127A82">
        <w:fldChar w:fldCharType="end"/>
      </w:r>
      <w:r w:rsidRPr="00127A82">
        <w:t xml:space="preserve">. The other main family, </w:t>
      </w:r>
      <w:r w:rsidRPr="00C13637">
        <w:rPr>
          <w:i/>
        </w:rPr>
        <w:t>Xanthomonadaceae</w:t>
      </w:r>
      <w:r w:rsidRPr="00127A82">
        <w:t xml:space="preserve">, was represented by several genera with a majority of </w:t>
      </w:r>
      <w:r w:rsidRPr="00C13637">
        <w:rPr>
          <w:i/>
        </w:rPr>
        <w:t>Pseudoxanthomonas</w:t>
      </w:r>
      <w:r w:rsidRPr="00127A82">
        <w:t>. In this genus, some members were identified as N</w:t>
      </w:r>
      <w:r w:rsidRPr="00127A82">
        <w:rPr>
          <w:vertAlign w:val="subscript"/>
        </w:rPr>
        <w:t>2</w:t>
      </w:r>
      <w:r w:rsidRPr="00127A82">
        <w:t xml:space="preserve"> fixers with a need of external organic C source, exhibiting a mixotrophic metabolism depending on the environmental conditions </w:t>
      </w:r>
      <w:r w:rsidRPr="00127A82">
        <w:fldChar w:fldCharType="begin"/>
      </w:r>
      <w:r w:rsidRPr="00127A82">
        <w:instrText xml:space="preserve"> ADDIN ZOTERO_ITEM CSL_CITATION {"citationID":"010TtHsc","properties":{"formattedCitation":"(J. Hu et al., 2022; Ryan et al., 2009)","plainCitation":"(J. Hu et al., 2022; Ryan et al., 2009)","noteIndex":0},"citationItems":[{"id":491,"uris":["http://zotero.org/users/local/ahqjqVuV/items/TISQF7JG"],"itemData":{"id":491,"type":"article-journal","abstract":"Stenotrophomonas spp. are found throughout the environment, particularly in close association with plants.Currently, the genus comprises eight validly described species: Stenotrophomonas maltophilia, Stenotrophomonas nitritireducens, Stenotrophomonas rhizophila, Stenotrophomonas acidaminiphila, Stenotrophomonas chelatiphaga, Stenotrophomonas koreensis, Stenotrophomonas terrae and Stenotrophomonas humi.Stenotrophomonas spp. have an important ecological role in the nitrogen and sulphur cycles and several Stenotrophomonas spp. can engage in beneficial interactions with plants, promoting growth and protecting plants from attack.These bacteria can degrade many xenobiotic compounds and so have the potential to be agents for bioremediation.S. maltophilia is the only species of Stenotrophomonas that is known to cause human disease and is a cause of bacteraemia, septicaemia and severe lung infections in patients with cystic fibrosis.S. maltophilia has also been shown to possess a cell–cell signalling system that is mediated by a diffusible signal factor and is involved in modulating the production of extracellular protease, biofilm behaviour and virulence.Determination of the genome sequences of clinical and endophytic S. maltophilia strains has formed the basis for functional genomic analyses to test the contribution of specific functions to the tenacity of these bacteria in colonization, their broad resistance to antibiotics and their ability to enter into close associations with plants and humans.","container-title":"Nature Reviews Microbiology","DOI":"10.1038/nrmicro2163","ISSN":"1740-1534","issue":"7","journalAbbreviation":"Nat Rev Microbiol","language":"en","license":"2009 Nature Publishing Group","note":"number: 7\npublisher: Nature Publishing Group","page":"514-525","source":"www.nature.com","title":"The versatility and adaptation of bacteria from the genus Stenotrophomonas","volume":"7","author":[{"family":"Ryan","given":"Robert P."},{"family":"Monchy","given":"Sebastien"},{"family":"Cardinale","given":"Massimiliano"},{"family":"Taghavi","given":"Safiyh"},{"family":"Crossman","given":"Lisa"},{"family":"Avison","given":"Matthew B."},{"family":"Berg","given":"Gabriele"},{"family":"Lelie","given":"Daniel","non-dropping-particle":"van der"},{"family":"Dow","given":"J. Maxwell"}],"issued":{"date-parts":[["2009",7]]}}},{"id":800,"uris":["http://zotero.org/users/local/ahqjqVuV/items/3P7GF2MX"],"itemData":{"id":800,"type":"article-journal","abstract":"Dissolved solids released from biochar (DSRB), including organic and inorganic compounds, may affect the role of biochar as a soil amendment. In this study, the effects of DSRB on soil microbe metabolism, especially CO2 fixation, were evaluated in liquid soil extract. DSRB were found to be released in large amounts (289.05 mg L−1 at 1 hour) from biochar over a short period of time before their rate of release slowed to a gradual pace. They increased the microbial biomass and provided energy and reducing power to microbes, while reducing their metabolic output of extracellular proteins and polysaccharides. DSRB inputs led to the redistribution of metabolic flux in soil microorganisms and an increased organic carbon content in the short term. This content gradually decreased as it was utilized. DSRB did not improve microbial CO2 fixation but, rather, enhanced its release, while promoting specific soil microorganism genera, including Cupriavidus, Flavisolibacter, and Pseudoxanthomonas. These heterotrophic genera may compete with autotrophic microorganisms for nutrients but have positive synergistic relationships with autotrophs during CO2 fixation. These results demonstrated that reducing the DSRB in biochar can improve its role as a soil amendment by enhancing soil carbon storage and CO2 fixation capabilities.","container-title":"Environmental Science: Processes &amp; Impacts","DOI":"10.1039/D2EM00036A","ISSN":"2050-7895","issue":"4","journalAbbreviation":"Environ. Sci.: Processes Impacts","language":"en","note":"publisher: The Royal Society of Chemistry","page":"598-608","source":"pubs.rsc.org","title":"Effect of dissolved solids released from biochar on soil microbial metabolism","volume":"24","author":[{"family":"Hu","given":"Jiajun"},{"family":"Tang","given":"Han"},{"family":"Wang","given":"Ya Zhu"},{"family":"Yang","given":"Chen"},{"family":"Gao","given":"Min-tian"},{"family":"Tsang","given":"Yiu Fai"},{"family":"Li","given":"Jixiang"}],"issued":{"date-parts":[["2022",4,21]]}}}],"schema":"https://github.com/citation-style-language/schema/raw/master/csl-citation.json"} </w:instrText>
      </w:r>
      <w:r w:rsidRPr="00127A82">
        <w:fldChar w:fldCharType="separate"/>
      </w:r>
      <w:r w:rsidRPr="00127A82">
        <w:t>(J. Hu et al., 2022; Ryan et al., 2009)</w:t>
      </w:r>
      <w:r w:rsidRPr="00127A82">
        <w:fldChar w:fldCharType="end"/>
      </w:r>
      <w:r w:rsidRPr="00127A82">
        <w:t xml:space="preserve">. Sequences associated to the </w:t>
      </w:r>
      <w:r w:rsidRPr="00C13637">
        <w:rPr>
          <w:i/>
        </w:rPr>
        <w:t>Rhodospirillaceae</w:t>
      </w:r>
      <w:r w:rsidRPr="00127A82">
        <w:t xml:space="preserve"> family were mainly affiliated to the species </w:t>
      </w:r>
      <w:r w:rsidRPr="00C13637">
        <w:rPr>
          <w:i/>
        </w:rPr>
        <w:t>Azospirillum lipoferum</w:t>
      </w:r>
      <w:r w:rsidRPr="00127A82">
        <w:t xml:space="preserve"> which is able to grow in autotrophy with H</w:t>
      </w:r>
      <w:r w:rsidRPr="00127A82">
        <w:rPr>
          <w:vertAlign w:val="subscript"/>
        </w:rPr>
        <w:t>2</w:t>
      </w:r>
      <w:r w:rsidRPr="00127A82">
        <w:t>, CO</w:t>
      </w:r>
      <w:r w:rsidRPr="00127A82">
        <w:rPr>
          <w:vertAlign w:val="subscript"/>
        </w:rPr>
        <w:t>2</w:t>
      </w:r>
      <w:r w:rsidRPr="00127A82">
        <w:t xml:space="preserve"> and N</w:t>
      </w:r>
      <w:r w:rsidRPr="00127A82">
        <w:rPr>
          <w:vertAlign w:val="subscript"/>
        </w:rPr>
        <w:t>2</w:t>
      </w:r>
      <w:r w:rsidRPr="00127A82">
        <w:t xml:space="preserve"> </w:t>
      </w:r>
      <w:r w:rsidRPr="00127A82">
        <w:fldChar w:fldCharType="begin"/>
      </w:r>
      <w:r w:rsidRPr="00127A82">
        <w:instrText xml:space="preserve"> ADDIN ZOTERO_ITEM CSL_CITATION {"citationID":"VV0Stfwz","properties":{"formattedCitation":"(Tilak et al., 1986)","plainCitation":"(Tilak et al., 1986)","noteIndex":0},"citationItems":[{"id":726,"uris":["http://zotero.org/users/local/ahqjqVuV/items/JL85I7DU"],"itemData":{"id":726,"type":"article-journal","abstract":"Out of 15 strains ofAzospirillum spp. isolated from the roots of different plants, only 4 (CY, M, CC, and AM) were able to grow autotrophically with H2 and CO2. All of them showed H2 uptake in the presence of oxygen or methylene blue and ribulose-1,5-bisphosphate carboxylase activity. Among the four strains, strain CC isolated from the roots ofCenchrus cilliaris showed maximum H2+O2 uptake (32.5 μl/min. mg protein) as well as H2 uptake in the presence of methylene blue (41.4 μl/min·mg protein) and also the maximum activity of ribulose-1,5-bisphosphate carboxylase (17 units [U]/g protein). The doubling time of this strain under autotrophic growth conditions and at low oxygen concentration (2.5%, vol/vol) was 10 h. At the same O2 concentration the maximal rates of H2+O2 uptake were reached. The distribution of hydrogenase activity among soluble and particulate protein fractions revealed that the hydrogenase ofAzospirillum strain CC is a membrane-bound enzyme. It showed cross-reaction with antibodies raised against the membrane-bound hydrogenase ofAlcaligenes eutrophus. The hydrogenase in intact cells and crude extracts reacted with methylene blue, phenazine methosulfate, and ferricyanide, but not with NAD or FMN. The specific hydrogenase activity, with methylene blue as an acceptor, was 5.71 U/mg protein in crude extract at 9.38 U/mg protein in the membrane suspension. Hydrogen evolution from reduced viologen dyes could not be demonstrated. The hydrogenase is oxygen sensitive and can be optimally stabilized by addition of dithionite to H2-gased samples.","container-title":"Current Microbiology","DOI":"10.1007/BF01577194","ISSN":"1432-0991","issue":"6","journalAbbreviation":"Current Microbiology","language":"en","page":"291-297","source":"Springer Link","title":"Autotrophic growth of nitrogen-fixingAzospirillum species and partial characterization of hydrogenase from strain CC","volume":"13","author":[{"family":"Tilak","given":"Kolluru V. B. R."},{"family":"Schneider","given":"Klaus"},{"family":"Schlegel","given":"Hans G."}],"issued":{"date-parts":[["1986",11,1]]}}}],"schema":"https://github.com/citation-style-language/schema/raw/master/csl-citation.json"} </w:instrText>
      </w:r>
      <w:r w:rsidRPr="00127A82">
        <w:fldChar w:fldCharType="separate"/>
      </w:r>
      <w:r w:rsidRPr="00127A82">
        <w:t>(Tilak et al., 1986)</w:t>
      </w:r>
      <w:r w:rsidRPr="00127A82">
        <w:fldChar w:fldCharType="end"/>
      </w:r>
      <w:r w:rsidRPr="00127A82">
        <w:t xml:space="preserve">. This soil bacterium is also known for its role as a PGPB with a capacity to solubilize phosphates, making it a good candidate as a fertilizer </w:t>
      </w:r>
      <w:r w:rsidRPr="00127A82">
        <w:fldChar w:fldCharType="begin"/>
      </w:r>
      <w:r w:rsidRPr="00127A82">
        <w:instrText xml:space="preserve"> ADDIN ZOTERO_ITEM CSL_CITATION {"citationID":"aEVVJ3ep","properties":{"formattedCitation":"(Cassan &amp; Garc\\uc0\\u237{}a de Salamone, 2008; Tilak et al., 1986)","plainCitation":"(Cassan &amp; García de Salamone, 2008; Tilak et al., 1986)","noteIndex":0},"citationItems":[{"id":726,"uris":["http://zotero.org/users/local/ahqjqVuV/items/JL85I7DU"],"itemData":{"id":726,"type":"article-journal","abstract":"Out of 15 strains ofAzospirillum spp. isolated from the roots of different plants, only 4 (CY, M, CC, and AM) were able to grow autotrophically with H2 and CO2. All of them showed H2 uptake in the presence of oxygen or methylene blue and ribulose-1,5-bisphosphate carboxylase activity. Among the four strains, strain CC isolated from the roots ofCenchrus cilliaris showed maximum H2+O2 uptake (32.5 μl/min. mg protein) as well as H2 uptake in the presence of methylene blue (41.4 μl/min·mg protein) and also the maximum activity of ribulose-1,5-bisphosphate carboxylase (17 units [U]/g protein). The doubling time of this strain under autotrophic growth conditions and at low oxygen concentration (2.5%, vol/vol) was 10 h. At the same O2 concentration the maximal rates of H2+O2 uptake were reached. The distribution of hydrogenase activity among soluble and particulate protein fractions revealed that the hydrogenase ofAzospirillum strain CC is a membrane-bound enzyme. It showed cross-reaction with antibodies raised against the membrane-bound hydrogenase ofAlcaligenes eutrophus. The hydrogenase in intact cells and crude extracts reacted with methylene blue, phenazine methosulfate, and ferricyanide, but not with NAD or FMN. The specific hydrogenase activity, with methylene blue as an acceptor, was 5.71 U/mg protein in crude extract at 9.38 U/mg protein in the membrane suspension. Hydrogen evolution from reduced viologen dyes could not be demonstrated. The hydrogenase is oxygen sensitive and can be optimally stabilized by addition of dithionite to H2-gased samples.","container-title":"Current Microbiology","DOI":"10.1007/BF01577194","ISSN":"1432-0991","issue":"6","journalAbbreviation":"Current Microbiology","language":"en","page":"291-297","source":"Springer Link","title":"Autotrophic growth of nitrogen-fixingAzospirillum species and partial characterization of hydrogenase from strain CC","volume":"13","author":[{"family":"Tilak","given":"Kolluru V. B. R."},{"family":"Schneider","given":"Klaus"},{"family":"Schlegel","given":"Hans G."}],"issued":{"date-parts":[["1986",11,1]]}}},{"id":736,"uris":["http://zotero.org/users/local/ahqjqVuV/items/7NHWA3R7"],"itemData":{"id":736,"type":"book","ISBN":"978-987-98475-8-9","source":"ResearchGate","title":"Azospirillum: Cell physiology, plant response, agronomic and environmental research in Argentina","title-short":"Azospirillum","author":[{"family":"Cassan","given":"Fabricio"},{"family":"García de Salamone","given":"Ines"}],"issued":{"date-parts":[["2008",1,1]]}}}],"schema":"https://github.com/citation-style-language/schema/raw/master/csl-citation.json"} </w:instrText>
      </w:r>
      <w:r w:rsidRPr="00127A82">
        <w:fldChar w:fldCharType="separate"/>
      </w:r>
      <w:r w:rsidRPr="00127A82">
        <w:t>(Cassan &amp; García de Salamone, 2008; Tilak et al., 1986)</w:t>
      </w:r>
      <w:r w:rsidRPr="00127A82">
        <w:fldChar w:fldCharType="end"/>
      </w:r>
      <w:r w:rsidRPr="00127A82">
        <w:t>. Interestingly, many of the identified bacteria in the polarized cathode enrichment were previously described to possess the N</w:t>
      </w:r>
      <w:r w:rsidRPr="00127A82">
        <w:rPr>
          <w:vertAlign w:val="subscript"/>
        </w:rPr>
        <w:t>2</w:t>
      </w:r>
      <w:r w:rsidRPr="00127A82">
        <w:t xml:space="preserve">-fixing genes and capability. This supports the fact that the primers were not able to amplify the full diversity of </w:t>
      </w:r>
      <w:r w:rsidRPr="00C13637">
        <w:rPr>
          <w:i/>
        </w:rPr>
        <w:t xml:space="preserve">nifH </w:t>
      </w:r>
      <w:r w:rsidRPr="00127A82">
        <w:t>genes from these communities.</w:t>
      </w:r>
      <w:r w:rsidR="008E5970" w:rsidRPr="00127A82">
        <w:t xml:space="preserve"> </w:t>
      </w:r>
    </w:p>
    <w:p w14:paraId="2DB21D48" w14:textId="7400EEFA" w:rsidR="00643E01" w:rsidRPr="00127A82" w:rsidRDefault="00643E01" w:rsidP="00127A82">
      <w:pPr>
        <w:pStyle w:val="PCJtext"/>
      </w:pPr>
      <w:r w:rsidRPr="00127A82">
        <w:rPr>
          <w:highlight w:val="yellow"/>
        </w:rPr>
        <w:t xml:space="preserve">The </w:t>
      </w:r>
      <w:r w:rsidRPr="00C13637">
        <w:rPr>
          <w:i/>
          <w:highlight w:val="yellow"/>
        </w:rPr>
        <w:t>Xanthobacteraceae</w:t>
      </w:r>
      <w:r w:rsidRPr="00127A82">
        <w:rPr>
          <w:highlight w:val="yellow"/>
        </w:rPr>
        <w:t xml:space="preserve"> (51%</w:t>
      </w:r>
      <w:r w:rsidR="00CF5BB9" w:rsidRPr="00127A82">
        <w:rPr>
          <w:highlight w:val="yellow"/>
        </w:rPr>
        <w:t xml:space="preserve"> in average</w:t>
      </w:r>
      <w:r w:rsidRPr="00127A82">
        <w:rPr>
          <w:highlight w:val="yellow"/>
        </w:rPr>
        <w:t xml:space="preserve">), </w:t>
      </w:r>
      <w:r w:rsidRPr="00C13637">
        <w:rPr>
          <w:i/>
          <w:highlight w:val="yellow"/>
        </w:rPr>
        <w:t>Peptococcaceae</w:t>
      </w:r>
      <w:r w:rsidRPr="00127A82">
        <w:rPr>
          <w:highlight w:val="yellow"/>
        </w:rPr>
        <w:t xml:space="preserve"> (17%, identified as </w:t>
      </w:r>
      <w:r w:rsidRPr="00C13637">
        <w:rPr>
          <w:i/>
          <w:highlight w:val="yellow"/>
        </w:rPr>
        <w:t>Desulforamulus</w:t>
      </w:r>
      <w:r w:rsidRPr="00127A82">
        <w:rPr>
          <w:highlight w:val="yellow"/>
        </w:rPr>
        <w:t>)</w:t>
      </w:r>
      <w:r w:rsidR="008E5970" w:rsidRPr="00127A82">
        <w:rPr>
          <w:highlight w:val="yellow"/>
        </w:rPr>
        <w:t>,</w:t>
      </w:r>
      <w:r w:rsidRPr="00127A82">
        <w:rPr>
          <w:highlight w:val="yellow"/>
        </w:rPr>
        <w:t xml:space="preserve"> </w:t>
      </w:r>
      <w:r w:rsidRPr="00C13637">
        <w:rPr>
          <w:i/>
          <w:highlight w:val="yellow"/>
        </w:rPr>
        <w:t>Chitinophagaceae</w:t>
      </w:r>
      <w:r w:rsidRPr="00127A82">
        <w:rPr>
          <w:highlight w:val="yellow"/>
        </w:rPr>
        <w:t xml:space="preserve"> (8%)</w:t>
      </w:r>
      <w:r w:rsidR="008E5970" w:rsidRPr="00127A82">
        <w:rPr>
          <w:highlight w:val="yellow"/>
        </w:rPr>
        <w:t xml:space="preserve"> and </w:t>
      </w:r>
      <w:r w:rsidR="008E5970" w:rsidRPr="00C13637">
        <w:rPr>
          <w:i/>
          <w:highlight w:val="yellow"/>
        </w:rPr>
        <w:t>Nocardioidaceae</w:t>
      </w:r>
      <w:r w:rsidR="008E5970" w:rsidRPr="00127A82">
        <w:rPr>
          <w:highlight w:val="yellow"/>
        </w:rPr>
        <w:t xml:space="preserve"> (5%)</w:t>
      </w:r>
      <w:r w:rsidRPr="00127A82">
        <w:rPr>
          <w:highlight w:val="yellow"/>
        </w:rPr>
        <w:t xml:space="preserve"> families were found to be dominant in H</w:t>
      </w:r>
      <w:r w:rsidRPr="00127A82">
        <w:rPr>
          <w:highlight w:val="yellow"/>
          <w:vertAlign w:val="subscript"/>
        </w:rPr>
        <w:t>2</w:t>
      </w:r>
      <w:r w:rsidRPr="00127A82">
        <w:rPr>
          <w:highlight w:val="yellow"/>
        </w:rPr>
        <w:t>E bottles at day 214</w:t>
      </w:r>
      <w:r w:rsidR="00CF5BB9" w:rsidRPr="00127A82">
        <w:rPr>
          <w:highlight w:val="yellow"/>
        </w:rPr>
        <w:t xml:space="preserve"> as presented </w:t>
      </w:r>
      <w:r w:rsidR="00CF5BB9" w:rsidRPr="00C13637">
        <w:rPr>
          <w:highlight w:val="yellow"/>
        </w:rPr>
        <w:t xml:space="preserve">in </w:t>
      </w:r>
      <w:r w:rsidR="008E52F5" w:rsidRPr="00C13637">
        <w:rPr>
          <w:highlight w:val="yellow"/>
        </w:rPr>
        <w:fldChar w:fldCharType="begin"/>
      </w:r>
      <w:r w:rsidR="008E52F5" w:rsidRPr="00C13637">
        <w:rPr>
          <w:highlight w:val="yellow"/>
        </w:rPr>
        <w:instrText xml:space="preserve"> REF _Ref137733335 \h  \* MERGEFORMAT </w:instrText>
      </w:r>
      <w:r w:rsidR="008E52F5" w:rsidRPr="00C13637">
        <w:rPr>
          <w:highlight w:val="yellow"/>
        </w:rPr>
      </w:r>
      <w:r w:rsidR="008E52F5" w:rsidRPr="00C13637">
        <w:rPr>
          <w:highlight w:val="yellow"/>
        </w:rPr>
        <w:fldChar w:fldCharType="separate"/>
      </w:r>
      <w:r w:rsidR="008E52F5" w:rsidRPr="00C13637">
        <w:rPr>
          <w:highlight w:val="yellow"/>
        </w:rPr>
        <w:t>Figure 7</w:t>
      </w:r>
      <w:r w:rsidR="008E52F5" w:rsidRPr="00C13637">
        <w:rPr>
          <w:highlight w:val="yellow"/>
        </w:rPr>
        <w:fldChar w:fldCharType="end"/>
      </w:r>
      <w:r w:rsidRPr="00127A82">
        <w:rPr>
          <w:highlight w:val="yellow"/>
        </w:rPr>
        <w:t xml:space="preserve">. The </w:t>
      </w:r>
      <w:r w:rsidRPr="00C13637">
        <w:rPr>
          <w:i/>
          <w:highlight w:val="yellow"/>
        </w:rPr>
        <w:t>Xanthobacteraceae</w:t>
      </w:r>
      <w:r w:rsidRPr="00127A82">
        <w:rPr>
          <w:highlight w:val="yellow"/>
        </w:rPr>
        <w:t xml:space="preserve"> family</w:t>
      </w:r>
      <w:r w:rsidR="00CF5BB9" w:rsidRPr="00127A82">
        <w:rPr>
          <w:highlight w:val="yellow"/>
        </w:rPr>
        <w:t>, highly linked to H</w:t>
      </w:r>
      <w:r w:rsidR="00CF5BB9" w:rsidRPr="00127A82">
        <w:rPr>
          <w:highlight w:val="yellow"/>
          <w:vertAlign w:val="subscript"/>
        </w:rPr>
        <w:t>2</w:t>
      </w:r>
      <w:r w:rsidR="00CF5BB9" w:rsidRPr="00127A82">
        <w:rPr>
          <w:highlight w:val="yellow"/>
        </w:rPr>
        <w:t xml:space="preserve">E communities as seen in </w:t>
      </w:r>
      <w:r w:rsidR="008A1790" w:rsidRPr="00127A82">
        <w:rPr>
          <w:highlight w:val="yellow"/>
        </w:rPr>
        <w:fldChar w:fldCharType="begin"/>
      </w:r>
      <w:r w:rsidR="008A1790" w:rsidRPr="00127A82">
        <w:rPr>
          <w:highlight w:val="yellow"/>
        </w:rPr>
        <w:instrText xml:space="preserve"> REF _Ref129081860 \h </w:instrText>
      </w:r>
      <w:r w:rsidR="00C43881" w:rsidRPr="00127A82">
        <w:rPr>
          <w:highlight w:val="yellow"/>
        </w:rPr>
        <w:instrText xml:space="preserve"> \* MERGEFORMAT </w:instrText>
      </w:r>
      <w:r w:rsidR="008A1790" w:rsidRPr="00127A82">
        <w:rPr>
          <w:highlight w:val="yellow"/>
        </w:rPr>
      </w:r>
      <w:r w:rsidR="008A1790" w:rsidRPr="00127A82">
        <w:rPr>
          <w:highlight w:val="yellow"/>
        </w:rPr>
        <w:fldChar w:fldCharType="separate"/>
      </w:r>
      <w:r w:rsidR="00C13637">
        <w:rPr>
          <w:highlight w:val="yellow"/>
        </w:rPr>
        <w:t>F</w:t>
      </w:r>
      <w:r w:rsidR="008A1790" w:rsidRPr="00127A82">
        <w:rPr>
          <w:highlight w:val="yellow"/>
        </w:rPr>
        <w:t>igure 6</w:t>
      </w:r>
      <w:r w:rsidR="008A1790" w:rsidRPr="00127A82">
        <w:rPr>
          <w:highlight w:val="yellow"/>
        </w:rPr>
        <w:fldChar w:fldCharType="end"/>
      </w:r>
      <w:r w:rsidR="008A1790" w:rsidRPr="00127A82">
        <w:rPr>
          <w:highlight w:val="yellow"/>
        </w:rPr>
        <w:t>b</w:t>
      </w:r>
      <w:r w:rsidR="00CF5BB9" w:rsidRPr="00127A82">
        <w:rPr>
          <w:highlight w:val="yellow"/>
        </w:rPr>
        <w:t>,</w:t>
      </w:r>
      <w:r w:rsidRPr="00127A82">
        <w:rPr>
          <w:highlight w:val="yellow"/>
        </w:rPr>
        <w:t xml:space="preserve"> was mostly represented by the species </w:t>
      </w:r>
      <w:r w:rsidRPr="00C13637">
        <w:rPr>
          <w:i/>
          <w:highlight w:val="yellow"/>
        </w:rPr>
        <w:t>Xanthobacter</w:t>
      </w:r>
      <w:r w:rsidRPr="00127A82">
        <w:rPr>
          <w:highlight w:val="yellow"/>
        </w:rPr>
        <w:t xml:space="preserve"> </w:t>
      </w:r>
      <w:r w:rsidRPr="00C13637">
        <w:rPr>
          <w:i/>
          <w:highlight w:val="yellow"/>
        </w:rPr>
        <w:t>autotrophicus</w:t>
      </w:r>
      <w:r w:rsidRPr="00127A82">
        <w:rPr>
          <w:highlight w:val="yellow"/>
        </w:rPr>
        <w:t xml:space="preserve"> which is known as N</w:t>
      </w:r>
      <w:r w:rsidRPr="00127A82">
        <w:rPr>
          <w:highlight w:val="yellow"/>
          <w:vertAlign w:val="subscript"/>
        </w:rPr>
        <w:t>2</w:t>
      </w:r>
      <w:r w:rsidRPr="00127A82">
        <w:rPr>
          <w:highlight w:val="yellow"/>
        </w:rPr>
        <w:t xml:space="preserve">-fixing HOB </w:t>
      </w:r>
      <w:r w:rsidRPr="00127A82">
        <w:rPr>
          <w:highlight w:val="yellow"/>
        </w:rPr>
        <w:fldChar w:fldCharType="begin"/>
      </w:r>
      <w:r w:rsidRPr="00127A82">
        <w:rPr>
          <w:highlight w:val="yellow"/>
        </w:rPr>
        <w:instrText xml:space="preserve"> ADDIN ZOTERO_ITEM CSL_CITATION {"citationID":"IGYldJjJ","properties":{"formattedCitation":"(Wiegel, 2005)","plainCitation":"(Wiegel, 2005)","noteIndex":0},"citationItems":[{"id":587,"uris":["http://zotero.org/users/local/ahqjqVuV/items/FY4JPHA8"],"itemData":{"id":587,"type":"article-journal","DOI":"10.1007/0-387-29298-5_135","ISSN":"0-387-24145-0","source":"ResearchGate","title":"Xanthobacter Wiegel, Wilke, Baumgarten, Opitz and Schlegel 1978, 573 AL","author":[{"family":"Wiegel","given":"Juergen"}],"issued":{"date-parts":[["2005",1,1]]}}}],"schema":"https://github.com/citation-style-language/schema/raw/master/csl-citation.json"} </w:instrText>
      </w:r>
      <w:r w:rsidRPr="00127A82">
        <w:rPr>
          <w:highlight w:val="yellow"/>
        </w:rPr>
        <w:fldChar w:fldCharType="separate"/>
      </w:r>
      <w:r w:rsidRPr="00127A82">
        <w:rPr>
          <w:highlight w:val="yellow"/>
        </w:rPr>
        <w:t>(Wiegel, 2005)</w:t>
      </w:r>
      <w:r w:rsidRPr="00127A82">
        <w:rPr>
          <w:highlight w:val="yellow"/>
        </w:rPr>
        <w:fldChar w:fldCharType="end"/>
      </w:r>
      <w:r w:rsidRPr="00127A82">
        <w:t>. This species was already been used for N</w:t>
      </w:r>
      <w:r w:rsidRPr="00C13637">
        <w:rPr>
          <w:vertAlign w:val="subscript"/>
        </w:rPr>
        <w:t>2</w:t>
      </w:r>
      <w:r w:rsidRPr="00127A82">
        <w:t xml:space="preserve"> fixation by Liu et al. </w:t>
      </w:r>
      <w:r w:rsidRPr="00127A82">
        <w:fldChar w:fldCharType="begin"/>
      </w:r>
      <w:r w:rsidRPr="00127A82">
        <w:instrText xml:space="preserve"> ADDIN ZOTERO_ITEM CSL_CITATION {"citationID":"5ECoLb0v","properties":{"formattedCitation":"(C. Liu et al., 2017)","plainCitation":"(C. Liu et al., 2017)","noteIndex":0},"citationItems":[{"id":70,"uris":["http://zotero.org/users/local/ahqjqVuV/items/W85H7UHF"],"itemData":{"id":70,"type":"article-journal","abstract":"We demonstrate the synthesis of NH3 from N2 and H2O at ambient conditions in a single reactor by coupling hydrogen generation from catalytic water splitting to a H2-oxidizing bacterium Xanthobacter autotrophicus, which performs N2 and CO2 reduction to solid biomass. Living cells of X. autotrophicus may be directly applied as a biofertilizer to improve growth of radishes, a model crop plant, by up to </w:instrText>
      </w:r>
      <w:r w:rsidRPr="00127A82">
        <w:rPr>
          <w:rFonts w:ascii="Cambria Math" w:hAnsi="Cambria Math" w:cs="Cambria Math"/>
        </w:rPr>
        <w:instrText>∼</w:instrText>
      </w:r>
      <w:r w:rsidRPr="00127A82">
        <w:instrText>1,440% in terms of storage root mass. The NH3 generated from nitrogenase (N2ase) in X. autotrophicus can be diverted from biomass formation to an extracellular ammonia production with the addition of a glutamate synthetase inhibitor. The N2 reduction reaction proceeds at a low driving force with a turnover number of 9 × 109 cell–1 and turnover frequency of 1.9 × 104 s–1</w:instrText>
      </w:r>
      <w:r w:rsidRPr="00127A82">
        <w:rPr>
          <w:rFonts w:ascii="Cambria Math" w:hAnsi="Cambria Math" w:cs="Cambria Math"/>
        </w:rPr>
        <w:instrText>⋅</w:instrText>
      </w:r>
      <w:r w:rsidRPr="00127A82">
        <w:instrText xml:space="preserve">cell–1 without the use of sacrificial chemical reagents or carbon feedstocks other than CO2. This approach can be powered by renewable electricity, enabling the sustainable and selective production of ammonia and biofertilizers in a distributed manner.","container-title":"Proceedings of the National Academy of Sciences","DOI":"10.1073/pnas.1706371114","ISSN":"0027-8424, 1091-6490","issue":"25","journalAbbreviation":"PNAS","language":"en","license":"©  . Freely available online through the PNAS open access option.","note":"number: 25\npublisher: National Academy of Sciences\nsection: Physical Sciences\nPMID: 28588143","page":"6450-6455","source":"www.pnas.org","title":"Ambient nitrogen reduction cycle using a hybrid inorganic–biological system","volume":"114","author":[{"family":"Liu","given":"Chong"},{"family":"Sakimoto","given":"Kelsey K."},{"family":"Colón","given":"Brendan C."},{"family":"Silver","given":"Pamela A."},{"family":"Nocera","given":"Daniel G."}],"issued":{"date-parts":[["2017",6,20]]}}}],"schema":"https://github.com/citation-style-language/schema/raw/master/csl-citation.json"} </w:instrText>
      </w:r>
      <w:r w:rsidRPr="00127A82">
        <w:fldChar w:fldCharType="separate"/>
      </w:r>
      <w:r w:rsidRPr="00127A82">
        <w:t>(C. Liu et al., 2017)</w:t>
      </w:r>
      <w:r w:rsidRPr="00127A82">
        <w:fldChar w:fldCharType="end"/>
      </w:r>
      <w:r w:rsidRPr="00127A82">
        <w:t xml:space="preserve"> in an hybrid system using the H</w:t>
      </w:r>
      <w:r w:rsidRPr="00127A82">
        <w:rPr>
          <w:vertAlign w:val="subscript"/>
        </w:rPr>
        <w:t>2</w:t>
      </w:r>
      <w:r w:rsidRPr="00127A82">
        <w:t xml:space="preserve"> produced by a cathode. </w:t>
      </w:r>
      <w:r w:rsidRPr="00C13637">
        <w:rPr>
          <w:i/>
        </w:rPr>
        <w:t>Xanthobacter autotrophicus</w:t>
      </w:r>
      <w:r w:rsidRPr="00127A82">
        <w:t xml:space="preserve"> was also found in the medium of the polarized cathode enrichment but in lower abundance (&lt; 5%). Therefore, the community </w:t>
      </w:r>
      <w:r w:rsidRPr="00127A82">
        <w:lastRenderedPageBreak/>
        <w:t>enriched with H</w:t>
      </w:r>
      <w:r w:rsidRPr="00127A82">
        <w:rPr>
          <w:vertAlign w:val="subscript"/>
        </w:rPr>
        <w:t>2</w:t>
      </w:r>
      <w:r w:rsidRPr="00127A82">
        <w:t xml:space="preserve"> </w:t>
      </w:r>
      <w:r w:rsidR="009B1B3F" w:rsidRPr="00127A82">
        <w:t xml:space="preserve">in bottles </w:t>
      </w:r>
      <w:r w:rsidRPr="00127A82">
        <w:t>was mostly composed of N</w:t>
      </w:r>
      <w:r w:rsidRPr="00127A82">
        <w:rPr>
          <w:vertAlign w:val="subscript"/>
        </w:rPr>
        <w:t>2</w:t>
      </w:r>
      <w:r w:rsidRPr="00127A82">
        <w:t xml:space="preserve">-fixing bacteria, as also supported by the high </w:t>
      </w:r>
      <w:r w:rsidRPr="00127A82">
        <w:rPr>
          <w:i/>
        </w:rPr>
        <w:t>nifH</w:t>
      </w:r>
      <w:r w:rsidRPr="00127A82">
        <w:t xml:space="preserve">/16S </w:t>
      </w:r>
      <w:r w:rsidRPr="00127A82">
        <w:rPr>
          <w:highlight w:val="yellow"/>
        </w:rPr>
        <w:t>ratio (</w:t>
      </w:r>
      <w:r w:rsidR="00AD00F8" w:rsidRPr="00127A82">
        <w:rPr>
          <w:highlight w:val="yellow"/>
        </w:rPr>
        <w:t>0.9</w:t>
      </w:r>
      <w:r w:rsidRPr="00127A82">
        <w:rPr>
          <w:highlight w:val="yellow"/>
        </w:rPr>
        <w:t>).</w:t>
      </w:r>
      <w:r w:rsidRPr="00127A82">
        <w:t xml:space="preserve"> After 214 days of enrichment, diazotrophic HOB were specifically selected.</w:t>
      </w:r>
    </w:p>
    <w:p w14:paraId="57FEDF2F" w14:textId="77777777" w:rsidR="00D802AF" w:rsidRDefault="00BE6B8E" w:rsidP="00456C92">
      <w:pPr>
        <w:pStyle w:val="PCJtext"/>
        <w:keepNext/>
        <w:jc w:val="center"/>
      </w:pPr>
      <w:r>
        <w:rPr>
          <w:lang w:val="fr-FR"/>
        </w:rPr>
        <w:drawing>
          <wp:inline distT="0" distB="0" distL="0" distR="0" wp14:anchorId="31DD1B47" wp14:editId="25440777">
            <wp:extent cx="5728335" cy="324104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8335" cy="3241040"/>
                    </a:xfrm>
                    <a:prstGeom prst="rect">
                      <a:avLst/>
                    </a:prstGeom>
                  </pic:spPr>
                </pic:pic>
              </a:graphicData>
            </a:graphic>
          </wp:inline>
        </w:drawing>
      </w:r>
    </w:p>
    <w:p w14:paraId="3869A8F4" w14:textId="77777777" w:rsidR="00EB659D" w:rsidRPr="00B43857" w:rsidRDefault="00D802AF" w:rsidP="00C13637">
      <w:pPr>
        <w:pStyle w:val="PCJcaptionfigure"/>
        <w:rPr>
          <w:i/>
        </w:rPr>
      </w:pPr>
      <w:bookmarkStart w:id="20" w:name="_Ref137733335"/>
      <w:r w:rsidRPr="00C13637">
        <w:rPr>
          <w:b/>
        </w:rPr>
        <w:t xml:space="preserve">Figure </w:t>
      </w:r>
      <w:r w:rsidRPr="00C13637">
        <w:rPr>
          <w:b/>
        </w:rPr>
        <w:fldChar w:fldCharType="begin"/>
      </w:r>
      <w:r w:rsidRPr="00C13637">
        <w:rPr>
          <w:b/>
        </w:rPr>
        <w:instrText xml:space="preserve"> SEQ Figure \* ARABIC </w:instrText>
      </w:r>
      <w:r w:rsidRPr="00C13637">
        <w:rPr>
          <w:b/>
        </w:rPr>
        <w:fldChar w:fldCharType="separate"/>
      </w:r>
      <w:r w:rsidRPr="00C13637">
        <w:rPr>
          <w:b/>
        </w:rPr>
        <w:t>7</w:t>
      </w:r>
      <w:r w:rsidRPr="00C13637">
        <w:rPr>
          <w:b/>
        </w:rPr>
        <w:fldChar w:fldCharType="end"/>
      </w:r>
      <w:bookmarkEnd w:id="20"/>
      <w:r>
        <w:t xml:space="preserve"> </w:t>
      </w:r>
      <w:r w:rsidR="004E49BB">
        <w:t>-</w:t>
      </w:r>
      <w:r>
        <w:t xml:space="preserve"> </w:t>
      </w:r>
      <w:r w:rsidR="00EB659D" w:rsidRPr="00C13637">
        <w:rPr>
          <w:highlight w:val="yellow"/>
        </w:rPr>
        <w:t>Barplots of relative abundances of major bacterial families of pre-enrichments, of H</w:t>
      </w:r>
      <w:r w:rsidR="00EB659D" w:rsidRPr="00C13637">
        <w:rPr>
          <w:highlight w:val="yellow"/>
          <w:vertAlign w:val="subscript"/>
        </w:rPr>
        <w:t>2</w:t>
      </w:r>
      <w:r w:rsidR="00EB659D" w:rsidRPr="00C13637">
        <w:rPr>
          <w:highlight w:val="yellow"/>
        </w:rPr>
        <w:t>-fed enrichment (H</w:t>
      </w:r>
      <w:r w:rsidR="00EB659D" w:rsidRPr="00C13637">
        <w:rPr>
          <w:highlight w:val="yellow"/>
          <w:vertAlign w:val="subscript"/>
        </w:rPr>
        <w:t>2</w:t>
      </w:r>
      <w:r w:rsidR="00EB659D" w:rsidRPr="00C13637">
        <w:rPr>
          <w:highlight w:val="yellow"/>
        </w:rPr>
        <w:t>E after 232 days) and cathodic enrichment (PCE and nPCE after 214 days). The microbial communities in the pre-enrichment bottles are represented by the following abbreviations: F for forest soil, C for compost, L for the rhizosphere of leguminous plants, and M for a mix of all. Only families with a relative abundance ≥ 5% are shown for each sample.</w:t>
      </w:r>
    </w:p>
    <w:p w14:paraId="534532C8" w14:textId="35069294" w:rsidR="00BE6B8E" w:rsidRPr="00643E01" w:rsidRDefault="00BE6B8E" w:rsidP="00456C92">
      <w:pPr>
        <w:pStyle w:val="PCJcaptionfigure"/>
        <w:jc w:val="both"/>
      </w:pPr>
    </w:p>
    <w:p w14:paraId="251A0D27" w14:textId="36C7ADCB" w:rsidR="00643E01" w:rsidRPr="00127A82" w:rsidRDefault="00643E01" w:rsidP="00127A82">
      <w:pPr>
        <w:pStyle w:val="PCJtext"/>
      </w:pPr>
      <w:r w:rsidRPr="00127A82">
        <w:t xml:space="preserve">The presence of mixotrophic and heterotrophic bacteria in the PCE suggested that carbon-based interactions could have occurred. Acetate was the only abundant soluble carbon metabolite found in these enrichments (see </w:t>
      </w:r>
      <w:r w:rsidRPr="00127A82">
        <w:fldChar w:fldCharType="begin"/>
      </w:r>
      <w:r w:rsidRPr="00127A82">
        <w:instrText xml:space="preserve"> REF _Ref122443794 \h  \* MERGEFORMAT </w:instrText>
      </w:r>
      <w:r w:rsidRPr="00127A82">
        <w:fldChar w:fldCharType="separate"/>
      </w:r>
      <w:r w:rsidR="00C43881" w:rsidRPr="00127A82">
        <w:t>t</w:t>
      </w:r>
      <w:r w:rsidR="00D802AF" w:rsidRPr="00127A82">
        <w:t>able 3</w:t>
      </w:r>
      <w:r w:rsidRPr="00127A82">
        <w:fldChar w:fldCharType="end"/>
      </w:r>
      <w:r w:rsidRPr="00127A82">
        <w:t xml:space="preserve">). </w:t>
      </w:r>
      <w:r w:rsidRPr="00127A82">
        <w:rPr>
          <w:highlight w:val="yellow"/>
        </w:rPr>
        <w:t xml:space="preserve">Therefore, acetate was assumed to be used as intermediate for carbon and electron transfer between </w:t>
      </w:r>
      <w:r w:rsidR="002D72F0" w:rsidRPr="00127A82">
        <w:rPr>
          <w:highlight w:val="yellow"/>
        </w:rPr>
        <w:t>autotrophic</w:t>
      </w:r>
      <w:r w:rsidRPr="00127A82">
        <w:rPr>
          <w:highlight w:val="yellow"/>
        </w:rPr>
        <w:t xml:space="preserve"> homoacetogens,</w:t>
      </w:r>
      <w:r w:rsidRPr="00127A82">
        <w:t xml:space="preserve"> e.g. </w:t>
      </w:r>
      <w:r w:rsidRPr="00C13637">
        <w:rPr>
          <w:i/>
        </w:rPr>
        <w:t>Desulforamulus rumnis</w:t>
      </w:r>
      <w:r w:rsidRPr="00127A82">
        <w:t xml:space="preserve">, and heterotrophic bacteria such as </w:t>
      </w:r>
      <w:r w:rsidRPr="00C13637">
        <w:rPr>
          <w:i/>
        </w:rPr>
        <w:t>Comamonas sp</w:t>
      </w:r>
      <w:r w:rsidRPr="00127A82">
        <w:t xml:space="preserve">.). </w:t>
      </w:r>
    </w:p>
    <w:p w14:paraId="73775B45" w14:textId="62DCE4A1" w:rsidR="00643E01" w:rsidRPr="00127A82" w:rsidRDefault="00643E01" w:rsidP="00127A82">
      <w:pPr>
        <w:pStyle w:val="PCJtext"/>
      </w:pPr>
      <w:r w:rsidRPr="00127A82">
        <w:t>Furthermore the low concentration of N-NH</w:t>
      </w:r>
      <w:r w:rsidRPr="00127A82">
        <w:rPr>
          <w:vertAlign w:val="subscript"/>
        </w:rPr>
        <w:t>4</w:t>
      </w:r>
      <w:r w:rsidRPr="00127A82">
        <w:rPr>
          <w:vertAlign w:val="superscript"/>
        </w:rPr>
        <w:t>+</w:t>
      </w:r>
      <w:r w:rsidRPr="00127A82">
        <w:t xml:space="preserve"> in the PCE before day 210 (</w:t>
      </w:r>
      <w:r w:rsidRPr="00127A82">
        <w:fldChar w:fldCharType="begin"/>
      </w:r>
      <w:r w:rsidRPr="00127A82">
        <w:instrText xml:space="preserve"> REF _Ref122443794 \h  \* MERGEFORMAT </w:instrText>
      </w:r>
      <w:r w:rsidRPr="00127A82">
        <w:fldChar w:fldCharType="separate"/>
      </w:r>
      <w:r w:rsidR="00D802AF" w:rsidRPr="00127A82">
        <w:t>Table 3</w:t>
      </w:r>
      <w:r w:rsidRPr="00127A82">
        <w:fldChar w:fldCharType="end"/>
      </w:r>
      <w:r w:rsidRPr="00127A82">
        <w:t>) was probably due to its rapid consumption for bacteria growth. Considering these hypothesis, a conceptual scheme of microbial interactions between the main bacterial families in the PCE was proposed and is presented in</w:t>
      </w:r>
      <w:r w:rsidR="00D92A9F" w:rsidRPr="00127A82">
        <w:t xml:space="preserve"> </w:t>
      </w:r>
      <w:r w:rsidR="00C43881" w:rsidRPr="00127A82">
        <w:fldChar w:fldCharType="begin"/>
      </w:r>
      <w:r w:rsidR="00C43881" w:rsidRPr="00127A82">
        <w:instrText xml:space="preserve"> REF _Ref129081906 \h  \* MERGEFORMAT </w:instrText>
      </w:r>
      <w:r w:rsidR="00C43881" w:rsidRPr="00127A82">
        <w:fldChar w:fldCharType="separate"/>
      </w:r>
      <w:r w:rsidR="00C13637">
        <w:t>F</w:t>
      </w:r>
      <w:r w:rsidR="00C43881" w:rsidRPr="00127A82">
        <w:t>igure 8</w:t>
      </w:r>
      <w:r w:rsidR="00C43881" w:rsidRPr="00127A82">
        <w:fldChar w:fldCharType="end"/>
      </w:r>
      <w:r w:rsidRPr="00127A82">
        <w:t>. The presence of heterotrophic bacteria and their potential use of O</w:t>
      </w:r>
      <w:r w:rsidRPr="00127A82">
        <w:rPr>
          <w:vertAlign w:val="subscript"/>
        </w:rPr>
        <w:t>2</w:t>
      </w:r>
      <w:r w:rsidRPr="00127A82">
        <w:t xml:space="preserve"> as a final electron acceptor was also considered. The concentration of dissolved O</w:t>
      </w:r>
      <w:r w:rsidRPr="00127A82">
        <w:rPr>
          <w:vertAlign w:val="subscript"/>
        </w:rPr>
        <w:t>2</w:t>
      </w:r>
      <w:r w:rsidRPr="00127A82">
        <w:t xml:space="preserve"> would have decreased in a deep layer of the biofilm due to its use by heterotrophic bacteria. A structure of the biofilm in two layers could then be proposed with a first layer composed mainly of homoacetogens fixed on the cathode and reducing CO</w:t>
      </w:r>
      <w:r w:rsidRPr="00127A82">
        <w:rPr>
          <w:vertAlign w:val="subscript"/>
        </w:rPr>
        <w:t>2</w:t>
      </w:r>
      <w:r w:rsidRPr="00127A82">
        <w:t xml:space="preserve"> to acetate, and a second layer composed mainly of heterotrophic bacteria using acetate and dissolved O</w:t>
      </w:r>
      <w:r w:rsidRPr="00127A82">
        <w:rPr>
          <w:vertAlign w:val="subscript"/>
        </w:rPr>
        <w:t>2</w:t>
      </w:r>
      <w:r w:rsidRPr="00127A82">
        <w:t xml:space="preserve"> to sustain their growth. It was assumed that bacteria in the first layer would not access to N</w:t>
      </w:r>
      <w:r w:rsidRPr="00127A82">
        <w:rPr>
          <w:vertAlign w:val="subscript"/>
        </w:rPr>
        <w:t>2</w:t>
      </w:r>
      <w:r w:rsidRPr="00127A82">
        <w:t xml:space="preserve"> that would be mostly fixed by organisms of the second layer.</w:t>
      </w:r>
    </w:p>
    <w:p w14:paraId="44F5588F" w14:textId="77777777" w:rsidR="00643E01" w:rsidRPr="00643E01" w:rsidRDefault="00643E01" w:rsidP="00643E01">
      <w:pPr>
        <w:pStyle w:val="PCJtext"/>
      </w:pPr>
    </w:p>
    <w:p w14:paraId="13532E68" w14:textId="77777777" w:rsidR="00643E01" w:rsidRDefault="00643E01" w:rsidP="00643E01">
      <w:pPr>
        <w:pStyle w:val="PCJtext"/>
        <w:jc w:val="center"/>
      </w:pPr>
      <w:r>
        <w:rPr>
          <w:lang w:val="fr-FR"/>
        </w:rPr>
        <w:lastRenderedPageBreak/>
        <w:drawing>
          <wp:inline distT="0" distB="0" distL="0" distR="0" wp14:anchorId="7A331DE3" wp14:editId="160E8EA5">
            <wp:extent cx="3838575" cy="2932112"/>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5" cstate="print">
                      <a:extLst>
                        <a:ext uri="{28A0092B-C50C-407E-A947-70E740481C1C}">
                          <a14:useLocalDpi xmlns:a14="http://schemas.microsoft.com/office/drawing/2010/main" val="0"/>
                        </a:ext>
                      </a:extLst>
                    </a:blip>
                    <a:srcRect r="14854"/>
                    <a:stretch/>
                  </pic:blipFill>
                  <pic:spPr bwMode="auto">
                    <a:xfrm>
                      <a:off x="0" y="0"/>
                      <a:ext cx="3838575" cy="2932112"/>
                    </a:xfrm>
                    <a:prstGeom prst="rect">
                      <a:avLst/>
                    </a:prstGeom>
                    <a:noFill/>
                    <a:ln>
                      <a:noFill/>
                    </a:ln>
                    <a:extLst>
                      <a:ext uri="{53640926-AAD7-44D8-BBD7-CCE9431645EC}">
                        <a14:shadowObscured xmlns:a14="http://schemas.microsoft.com/office/drawing/2010/main"/>
                      </a:ext>
                    </a:extLst>
                  </pic:spPr>
                </pic:pic>
              </a:graphicData>
            </a:graphic>
          </wp:inline>
        </w:drawing>
      </w:r>
    </w:p>
    <w:p w14:paraId="7928180E" w14:textId="7BCCFB9D" w:rsidR="00643E01" w:rsidRPr="00643E01" w:rsidRDefault="00643E01" w:rsidP="00643E01">
      <w:pPr>
        <w:pStyle w:val="PCJcaptionfigure"/>
      </w:pPr>
      <w:bookmarkStart w:id="21" w:name="_Ref129081906"/>
      <w:r w:rsidRPr="00643E01">
        <w:rPr>
          <w:b/>
        </w:rPr>
        <w:t xml:space="preserve">Figure </w:t>
      </w:r>
      <w:r w:rsidRPr="00643E01">
        <w:rPr>
          <w:b/>
        </w:rPr>
        <w:fldChar w:fldCharType="begin"/>
      </w:r>
      <w:r w:rsidRPr="00643E01">
        <w:rPr>
          <w:b/>
        </w:rPr>
        <w:instrText xml:space="preserve"> SEQ Figure \* ARABIC </w:instrText>
      </w:r>
      <w:r w:rsidRPr="00643E01">
        <w:rPr>
          <w:b/>
        </w:rPr>
        <w:fldChar w:fldCharType="separate"/>
      </w:r>
      <w:r w:rsidR="00D802AF">
        <w:rPr>
          <w:b/>
        </w:rPr>
        <w:t>8</w:t>
      </w:r>
      <w:r w:rsidRPr="00643E01">
        <w:fldChar w:fldCharType="end"/>
      </w:r>
      <w:bookmarkEnd w:id="21"/>
      <w:r w:rsidRPr="00643E01">
        <w:t xml:space="preserve"> - Conceptual scheme of microbial interactions occurring in polarized cathode enrichment (PCE) after enrichment for N</w:t>
      </w:r>
      <w:r w:rsidRPr="00643E01">
        <w:rPr>
          <w:vertAlign w:val="subscript"/>
        </w:rPr>
        <w:t>2</w:t>
      </w:r>
      <w:r w:rsidRPr="00643E01">
        <w:t xml:space="preserve"> fixation with inorganic energy and carbon sources</w:t>
      </w:r>
    </w:p>
    <w:p w14:paraId="122FCDD8" w14:textId="77777777" w:rsidR="00643E01" w:rsidRPr="00643E01" w:rsidRDefault="00643E01" w:rsidP="00643E01">
      <w:pPr>
        <w:pStyle w:val="PCJSection"/>
        <w:rPr>
          <w:noProof/>
        </w:rPr>
      </w:pPr>
      <w:r w:rsidRPr="00643E01">
        <w:rPr>
          <w:noProof/>
        </w:rPr>
        <w:t>Conclusion</w:t>
      </w:r>
    </w:p>
    <w:p w14:paraId="7888DAC4" w14:textId="61B156CB" w:rsidR="00F00DD4" w:rsidRPr="00127A82" w:rsidRDefault="00643E01" w:rsidP="00127A82">
      <w:pPr>
        <w:pStyle w:val="PCJtext"/>
      </w:pPr>
      <w:r w:rsidRPr="00127A82">
        <w:t>Enrichment cultures of N</w:t>
      </w:r>
      <w:r w:rsidRPr="00127A82">
        <w:rPr>
          <w:vertAlign w:val="subscript"/>
        </w:rPr>
        <w:t>2</w:t>
      </w:r>
      <w:r w:rsidRPr="00127A82">
        <w:t>-fixing bacteria were successfully carried out in H</w:t>
      </w:r>
      <w:r w:rsidRPr="00127A82">
        <w:rPr>
          <w:vertAlign w:val="subscript"/>
        </w:rPr>
        <w:t>2</w:t>
      </w:r>
      <w:r w:rsidRPr="00127A82">
        <w:t>-fed bottles (H</w:t>
      </w:r>
      <w:r w:rsidRPr="00127A82">
        <w:rPr>
          <w:vertAlign w:val="subscript"/>
        </w:rPr>
        <w:t>2</w:t>
      </w:r>
      <w:r w:rsidRPr="00127A82">
        <w:t>E) and in polarized cathode enrichment (PCE). Both methods showed significant N</w:t>
      </w:r>
      <w:r w:rsidRPr="00127A82">
        <w:rPr>
          <w:vertAlign w:val="subscript"/>
        </w:rPr>
        <w:t>2</w:t>
      </w:r>
      <w:r w:rsidRPr="00127A82">
        <w:t xml:space="preserve"> fixation after 340 days of enrichment. The microbial communities selected were able to fix N</w:t>
      </w:r>
      <w:r w:rsidRPr="00127A82">
        <w:rPr>
          <w:vertAlign w:val="subscript"/>
        </w:rPr>
        <w:t>2</w:t>
      </w:r>
      <w:r w:rsidRPr="00127A82">
        <w:t xml:space="preserve"> with CO</w:t>
      </w:r>
      <w:r w:rsidRPr="00127A82">
        <w:rPr>
          <w:vertAlign w:val="subscript"/>
        </w:rPr>
        <w:t>2</w:t>
      </w:r>
      <w:r w:rsidRPr="00127A82">
        <w:t xml:space="preserve"> as sole carbon source and H</w:t>
      </w:r>
      <w:r w:rsidRPr="00127A82">
        <w:rPr>
          <w:vertAlign w:val="subscript"/>
        </w:rPr>
        <w:t>2</w:t>
      </w:r>
      <w:r w:rsidRPr="00127A82">
        <w:t xml:space="preserve"> or cathodic electrons as sole </w:t>
      </w:r>
      <w:r w:rsidRPr="00C13637">
        <w:rPr>
          <w:highlight w:val="yellow"/>
        </w:rPr>
        <w:t>e</w:t>
      </w:r>
      <w:r w:rsidR="00A573BE" w:rsidRPr="00C13637">
        <w:rPr>
          <w:highlight w:val="yellow"/>
        </w:rPr>
        <w:t>lectron</w:t>
      </w:r>
      <w:r w:rsidRPr="00127A82">
        <w:t xml:space="preserve"> sources. Biomass growth on the cathode up to 4.6 10</w:t>
      </w:r>
      <w:r w:rsidRPr="00127A82">
        <w:rPr>
          <w:vertAlign w:val="superscript"/>
        </w:rPr>
        <w:t>10</w:t>
      </w:r>
      <w:r w:rsidRPr="00127A82">
        <w:t xml:space="preserve"> bacteria/L.d is another evidence of autotrophic growth in the PCE while bacterial growth was much lower in the H</w:t>
      </w:r>
      <w:r w:rsidRPr="00127A82">
        <w:rPr>
          <w:vertAlign w:val="subscript"/>
        </w:rPr>
        <w:t>2</w:t>
      </w:r>
      <w:r w:rsidRPr="00127A82">
        <w:t xml:space="preserve">E. </w:t>
      </w:r>
      <w:r w:rsidRPr="00127A82">
        <w:rPr>
          <w:highlight w:val="yellow"/>
        </w:rPr>
        <w:t xml:space="preserve">Current </w:t>
      </w:r>
      <w:r w:rsidR="00532170" w:rsidRPr="00127A82">
        <w:rPr>
          <w:highlight w:val="yellow"/>
        </w:rPr>
        <w:t>density</w:t>
      </w:r>
      <w:r w:rsidRPr="00127A82">
        <w:rPr>
          <w:highlight w:val="yellow"/>
        </w:rPr>
        <w:t xml:space="preserve"> </w:t>
      </w:r>
      <w:r w:rsidR="002D72F0" w:rsidRPr="00127A82">
        <w:rPr>
          <w:highlight w:val="yellow"/>
        </w:rPr>
        <w:t xml:space="preserve">suggests </w:t>
      </w:r>
      <w:r w:rsidRPr="00127A82">
        <w:rPr>
          <w:highlight w:val="yellow"/>
        </w:rPr>
        <w:t xml:space="preserve">the activity of </w:t>
      </w:r>
      <w:r w:rsidR="002D72F0" w:rsidRPr="00127A82">
        <w:rPr>
          <w:highlight w:val="yellow"/>
        </w:rPr>
        <w:t>auto</w:t>
      </w:r>
      <w:r w:rsidRPr="00127A82">
        <w:rPr>
          <w:highlight w:val="yellow"/>
        </w:rPr>
        <w:t>totrophic bacteria in the PCE</w:t>
      </w:r>
      <w:r w:rsidR="009B1B3F" w:rsidRPr="00127A82">
        <w:rPr>
          <w:highlight w:val="yellow"/>
        </w:rPr>
        <w:t xml:space="preserve"> and the availability of electron sources</w:t>
      </w:r>
      <w:r w:rsidRPr="00127A82">
        <w:rPr>
          <w:highlight w:val="yellow"/>
        </w:rPr>
        <w:t>.</w:t>
      </w:r>
      <w:r w:rsidRPr="00127A82">
        <w:t xml:space="preserve"> As the coulombic efficiency of N</w:t>
      </w:r>
      <w:r w:rsidRPr="00127A82">
        <w:rPr>
          <w:vertAlign w:val="subscript"/>
        </w:rPr>
        <w:t>2</w:t>
      </w:r>
      <w:r w:rsidRPr="00127A82">
        <w:t xml:space="preserve"> fixation was low with a maximum of 3.3% and considering the low concentrations of NH</w:t>
      </w:r>
      <w:r w:rsidRPr="00127A82">
        <w:rPr>
          <w:vertAlign w:val="subscript"/>
        </w:rPr>
        <w:t>4</w:t>
      </w:r>
      <w:r w:rsidRPr="00127A82">
        <w:rPr>
          <w:vertAlign w:val="superscript"/>
        </w:rPr>
        <w:t>+</w:t>
      </w:r>
      <w:r w:rsidRPr="00127A82">
        <w:t>, it was concluded that the major part of the nitrogen was incorporated into microbial biomass during the enrichment procedure. Interestingly, acetate was also produced in the PCE corresponding to a coulombic efficiency of 27%. The related microbial communities found in both enrichments had some bacterial families in common, but the communities found in the PCE appeared metabolically more diverse, suggesting probable rich microbial interactions with exchanges of electrons, carbon and nitrogen between autotrophic, heterotrophic and mixotrophic populations. Several members of the enriched communities were furthermore reported as plant growth promoting bacteria (PGPB) which could be interesting for the production of environment friendly fertilizers.To summarize, a conceptual model of microbial interactions between the main bacterial families found in the bioelectrochemical system was proposed suggesting a key role of each autotrophic, heterotrophic and mixotrophic populations in the process of N</w:t>
      </w:r>
      <w:r w:rsidRPr="00127A82">
        <w:rPr>
          <w:vertAlign w:val="subscript"/>
        </w:rPr>
        <w:t>2</w:t>
      </w:r>
      <w:r w:rsidRPr="00127A82">
        <w:t xml:space="preserve"> fixing by cathodic biofilms. </w:t>
      </w:r>
      <w:r w:rsidR="00EB659D" w:rsidRPr="00C13637">
        <w:rPr>
          <w:highlight w:val="yellow"/>
        </w:rPr>
        <w:t xml:space="preserve">In order to focus on the enriched microbial community and avoid to disrupt the enrichments, a comprehensive screening with different potential electron acceptors was not performed here. However, such screening would be interesting to be investigated and could be the subject of further studies on synthetic community to further explore the impact of </w:t>
      </w:r>
      <w:r w:rsidR="004113F2" w:rsidRPr="00C13637">
        <w:rPr>
          <w:highlight w:val="yellow"/>
        </w:rPr>
        <w:t>electron acceptors on microbial</w:t>
      </w:r>
      <w:r w:rsidR="00EB659D" w:rsidRPr="00C13637">
        <w:rPr>
          <w:highlight w:val="yellow"/>
        </w:rPr>
        <w:t xml:space="preserve"> communities, current densities and coulombic efficiencies.</w:t>
      </w:r>
    </w:p>
    <w:p w14:paraId="4EF89B94" w14:textId="76E28098" w:rsidR="00643E01" w:rsidRPr="00643E01" w:rsidRDefault="00643E01" w:rsidP="00643E01">
      <w:pPr>
        <w:pStyle w:val="PCJtext"/>
      </w:pPr>
    </w:p>
    <w:p w14:paraId="32755AE0" w14:textId="77777777" w:rsidR="00643E01" w:rsidRPr="00643E01" w:rsidRDefault="00643E01" w:rsidP="00643E01">
      <w:pPr>
        <w:pStyle w:val="PCJtext"/>
      </w:pPr>
    </w:p>
    <w:p w14:paraId="5B2C229C" w14:textId="77777777" w:rsidR="00A81F52" w:rsidRDefault="00A81F52" w:rsidP="00CE127D">
      <w:pPr>
        <w:pStyle w:val="PCJSection"/>
      </w:pPr>
      <w:bookmarkStart w:id="22" w:name="_Toc99629449"/>
      <w:r>
        <w:lastRenderedPageBreak/>
        <w:t>Acknowledgements</w:t>
      </w:r>
      <w:bookmarkEnd w:id="22"/>
    </w:p>
    <w:p w14:paraId="47388F57" w14:textId="5031EF36" w:rsidR="00643E01" w:rsidRPr="00643E01" w:rsidRDefault="00B15AF7" w:rsidP="00B15AF7">
      <w:pPr>
        <w:pStyle w:val="PCJtext"/>
      </w:pPr>
      <w:r w:rsidRPr="00B15AF7">
        <w:t>The authors would like to</w:t>
      </w:r>
      <w:r>
        <w:t xml:space="preserve"> </w:t>
      </w:r>
      <w:r w:rsidRPr="00B15AF7">
        <w:t xml:space="preserve">thank the </w:t>
      </w:r>
      <w:r w:rsidRPr="00023F62">
        <w:t>INRAE Bio2E Facility (Bio2E, INRAE,2018. Environmental Biotechnology and Biorefinery Facility</w:t>
      </w:r>
      <w:r>
        <w:t xml:space="preserve">, </w:t>
      </w:r>
      <w:hyperlink r:id="rId16" w:history="1">
        <w:r w:rsidRPr="00083056">
          <w:rPr>
            <w:rStyle w:val="Lienhypertexte"/>
          </w:rPr>
          <w:t>https://doi.org/10.15454/1.557234103446854E12</w:t>
        </w:r>
      </w:hyperlink>
      <w:r w:rsidRPr="00023F62">
        <w:t>)</w:t>
      </w:r>
      <w:r w:rsidRPr="00B15AF7">
        <w:t xml:space="preserve"> for</w:t>
      </w:r>
      <w:r>
        <w:t xml:space="preserve"> </w:t>
      </w:r>
      <w:r w:rsidRPr="00B15AF7">
        <w:t xml:space="preserve">experimental support. </w:t>
      </w:r>
    </w:p>
    <w:p w14:paraId="5FDFE02F" w14:textId="77777777" w:rsidR="00CE5981" w:rsidRPr="00CE5981" w:rsidRDefault="004E2785" w:rsidP="00CE5981">
      <w:pPr>
        <w:pStyle w:val="NormalWeb"/>
        <w:spacing w:before="280" w:beforeAutospacing="0" w:after="280" w:afterAutospacing="0"/>
        <w:jc w:val="center"/>
        <w:rPr>
          <w:lang w:val="en-US"/>
        </w:rPr>
      </w:pPr>
      <w:r>
        <w:rPr>
          <w:rFonts w:ascii="Calibri" w:hAnsi="Calibri" w:cs="Calibri"/>
          <w:b/>
          <w:bCs/>
          <w:color w:val="000000"/>
          <w:lang w:val="en-US"/>
        </w:rPr>
        <w:t>Data and</w:t>
      </w:r>
      <w:r w:rsidR="00CE5981" w:rsidRPr="00CE5981">
        <w:rPr>
          <w:rFonts w:ascii="Calibri" w:hAnsi="Calibri" w:cs="Calibri"/>
          <w:b/>
          <w:bCs/>
          <w:color w:val="000000"/>
          <w:lang w:val="en-US"/>
        </w:rPr>
        <w:t xml:space="preserve"> scripts availability</w:t>
      </w:r>
    </w:p>
    <w:p w14:paraId="2AA85446" w14:textId="77777777" w:rsidR="004A6386" w:rsidRDefault="00CE5981" w:rsidP="004A6386">
      <w:pPr>
        <w:pStyle w:val="NormalWeb"/>
        <w:spacing w:before="0" w:beforeAutospacing="0" w:after="0" w:afterAutospacing="0"/>
        <w:ind w:firstLine="318"/>
        <w:jc w:val="both"/>
        <w:rPr>
          <w:rFonts w:cstheme="minorHAnsi"/>
          <w:sz w:val="21"/>
          <w:szCs w:val="21"/>
          <w:lang w:val="en-US"/>
        </w:rPr>
      </w:pPr>
      <w:r w:rsidRPr="004A6386">
        <w:rPr>
          <w:rFonts w:ascii="Calibri" w:hAnsi="Calibri" w:cs="Calibri"/>
          <w:color w:val="000000"/>
          <w:sz w:val="21"/>
          <w:szCs w:val="21"/>
          <w:lang w:val="en-US"/>
        </w:rPr>
        <w:t xml:space="preserve">Data </w:t>
      </w:r>
      <w:r w:rsidR="004E2785" w:rsidRPr="004A6386">
        <w:rPr>
          <w:rFonts w:ascii="Calibri" w:hAnsi="Calibri" w:cs="Calibri"/>
          <w:color w:val="000000"/>
          <w:sz w:val="21"/>
          <w:szCs w:val="21"/>
          <w:lang w:val="en-US"/>
        </w:rPr>
        <w:t xml:space="preserve">and scripts </w:t>
      </w:r>
      <w:r w:rsidRPr="004A6386">
        <w:rPr>
          <w:rFonts w:ascii="Calibri" w:hAnsi="Calibri" w:cs="Calibri"/>
          <w:color w:val="000000"/>
          <w:sz w:val="21"/>
          <w:szCs w:val="21"/>
          <w:lang w:val="en-US"/>
        </w:rPr>
        <w:t>are available online</w:t>
      </w:r>
      <w:r w:rsidR="004A6386">
        <w:rPr>
          <w:rFonts w:ascii="Calibri" w:hAnsi="Calibri" w:cs="Calibri"/>
          <w:color w:val="000000"/>
          <w:sz w:val="21"/>
          <w:szCs w:val="21"/>
          <w:lang w:val="en-US"/>
        </w:rPr>
        <w:t xml:space="preserve"> on</w:t>
      </w:r>
      <w:r w:rsidRPr="004A6386">
        <w:rPr>
          <w:rFonts w:ascii="Calibri" w:hAnsi="Calibri" w:cs="Calibri"/>
          <w:color w:val="000000"/>
          <w:sz w:val="21"/>
          <w:szCs w:val="21"/>
          <w:lang w:val="en-US"/>
        </w:rPr>
        <w:t xml:space="preserve">: </w:t>
      </w:r>
      <w:hyperlink r:id="rId17" w:history="1">
        <w:r w:rsidR="004A6386" w:rsidRPr="004E2785">
          <w:rPr>
            <w:rStyle w:val="Lienhypertexte"/>
            <w:rFonts w:cstheme="minorHAnsi"/>
            <w:sz w:val="21"/>
            <w:szCs w:val="21"/>
            <w:lang w:val="en-US"/>
          </w:rPr>
          <w:t>https://doi.org/10.57745/ONNGWZ</w:t>
        </w:r>
      </w:hyperlink>
      <w:r w:rsidR="004A6386">
        <w:rPr>
          <w:rFonts w:cstheme="minorHAnsi"/>
          <w:sz w:val="21"/>
          <w:szCs w:val="21"/>
          <w:lang w:val="en-US"/>
        </w:rPr>
        <w:t xml:space="preserve"> (</w:t>
      </w:r>
      <w:r w:rsidR="004A6386">
        <w:rPr>
          <w:rFonts w:ascii="Calibri" w:hAnsi="Calibri" w:cs="Calibri"/>
          <w:color w:val="000000"/>
          <w:sz w:val="21"/>
          <w:szCs w:val="21"/>
          <w:lang w:val="en-US"/>
        </w:rPr>
        <w:t>Recherche Data gouv)</w:t>
      </w:r>
    </w:p>
    <w:p w14:paraId="59CC362F" w14:textId="77777777" w:rsidR="00A81F52" w:rsidRDefault="00A81F52" w:rsidP="00CE127D">
      <w:pPr>
        <w:pStyle w:val="PCJSection"/>
      </w:pPr>
      <w:bookmarkStart w:id="23" w:name="_Toc99629452"/>
      <w:r>
        <w:t>Conflict of interest disclosure</w:t>
      </w:r>
      <w:bookmarkEnd w:id="23"/>
    </w:p>
    <w:p w14:paraId="0A479DBE" w14:textId="77777777" w:rsidR="00A81F52" w:rsidRPr="004C5E20" w:rsidRDefault="004C5E20" w:rsidP="00B15AF7">
      <w:pPr>
        <w:pStyle w:val="PCJtext"/>
        <w:rPr>
          <w:rFonts w:cs="Times New Roman"/>
          <w:sz w:val="24"/>
        </w:rPr>
      </w:pPr>
      <w:r w:rsidRPr="004C5E20">
        <w:t>The authors declare that they comply with the PCI rule of having no financial conflicts of interest in relation</w:t>
      </w:r>
      <w:r w:rsidR="003C0E43">
        <w:t xml:space="preserve"> to the content of the article.</w:t>
      </w:r>
    </w:p>
    <w:p w14:paraId="787B2E61" w14:textId="77777777" w:rsidR="00A81F52" w:rsidRDefault="00A81F52" w:rsidP="00CE127D">
      <w:pPr>
        <w:pStyle w:val="PCJSection"/>
      </w:pPr>
      <w:bookmarkStart w:id="24" w:name="_Toc99629453"/>
      <w:r>
        <w:t>Funding</w:t>
      </w:r>
      <w:bookmarkEnd w:id="24"/>
    </w:p>
    <w:p w14:paraId="28AF2D76" w14:textId="77777777" w:rsidR="00643E01" w:rsidRPr="00643E01" w:rsidRDefault="00643E01" w:rsidP="00643E01">
      <w:pPr>
        <w:pStyle w:val="PCJtext"/>
      </w:pPr>
      <w:bookmarkStart w:id="25" w:name="_Toc99629454"/>
      <w:r w:rsidRPr="00643E01">
        <w:t xml:space="preserve">This work was </w:t>
      </w:r>
      <w:r w:rsidR="003C0E43">
        <w:t>funded</w:t>
      </w:r>
      <w:r w:rsidRPr="00643E01">
        <w:t xml:space="preserve"> by the French National Research Agency (ANR, ANR-19-CE43-0013</w:t>
      </w:r>
      <w:r w:rsidR="003C0E43">
        <w:t xml:space="preserve"> Cathomix</w:t>
      </w:r>
      <w:r w:rsidRPr="00643E01">
        <w:t>).</w:t>
      </w:r>
    </w:p>
    <w:p w14:paraId="636FC2D5" w14:textId="77777777" w:rsidR="001F3775" w:rsidRDefault="001F3775" w:rsidP="00CE127D">
      <w:pPr>
        <w:pStyle w:val="PCJSection"/>
      </w:pPr>
      <w:r>
        <w:t>References</w:t>
      </w:r>
      <w:bookmarkEnd w:id="25"/>
    </w:p>
    <w:p w14:paraId="01FFCFD4" w14:textId="150DA4C1" w:rsidR="00402127" w:rsidRDefault="003C0E43" w:rsidP="00402127">
      <w:pPr>
        <w:pStyle w:val="Bibliographie"/>
      </w:pPr>
      <w:r w:rsidRPr="003C0E43">
        <w:fldChar w:fldCharType="begin"/>
      </w:r>
      <w:r w:rsidR="00402127">
        <w:instrText xml:space="preserve"> ADDIN ZOTERO_BIBL {"uncited":[],"omitted":[],"custom":[]} CSL_BIBLIOGRAPHY </w:instrText>
      </w:r>
      <w:r w:rsidRPr="003C0E43">
        <w:fldChar w:fldCharType="separate"/>
      </w:r>
      <w:r w:rsidR="00402127">
        <w:t xml:space="preserve">Aullo, T., Ranchou-Peyruse, A., Ollivier, B., &amp; Magot, M. (2013). Desulfotomaculum spp. And related gram-positive sulfate-reducing bacteria in deep subsurface environments. </w:t>
      </w:r>
      <w:r w:rsidR="00402127">
        <w:rPr>
          <w:i/>
          <w:iCs/>
        </w:rPr>
        <w:t>Frontiers in Microbiology</w:t>
      </w:r>
      <w:r w:rsidR="00402127">
        <w:t xml:space="preserve">, </w:t>
      </w:r>
      <w:r w:rsidR="00402127">
        <w:rPr>
          <w:i/>
          <w:iCs/>
        </w:rPr>
        <w:t>4</w:t>
      </w:r>
      <w:r w:rsidR="00402127">
        <w:t xml:space="preserve">. </w:t>
      </w:r>
      <w:hyperlink r:id="rId18" w:history="1">
        <w:r w:rsidR="00402127" w:rsidRPr="00402127">
          <w:rPr>
            <w:rStyle w:val="Lienhypertexte"/>
          </w:rPr>
          <w:t>https://www.frontiersin.org/article/10.3389/fmicb.2013.00362</w:t>
        </w:r>
      </w:hyperlink>
    </w:p>
    <w:p w14:paraId="4DD49FCD" w14:textId="483E95D4" w:rsidR="00402127" w:rsidRDefault="00402127" w:rsidP="00402127">
      <w:pPr>
        <w:pStyle w:val="Bibliographie"/>
      </w:pPr>
      <w:r>
        <w:t xml:space="preserve">Bagali, S. (2012). Review: Nitrogen fixing microorganisms. </w:t>
      </w:r>
      <w:r>
        <w:rPr>
          <w:i/>
          <w:iCs/>
        </w:rPr>
        <w:t>Int. J. Microbiol. Res.</w:t>
      </w:r>
      <w:r>
        <w:t xml:space="preserve">, </w:t>
      </w:r>
      <w:r>
        <w:rPr>
          <w:i/>
          <w:iCs/>
        </w:rPr>
        <w:t>3</w:t>
      </w:r>
      <w:r>
        <w:t xml:space="preserve">, 46–52. </w:t>
      </w:r>
      <w:hyperlink r:id="rId19" w:history="1">
        <w:r w:rsidRPr="00402127">
          <w:rPr>
            <w:rStyle w:val="Lienhypertexte"/>
          </w:rPr>
          <w:t>https://doi.org/10.5829/idosi.ijmr.2012.3.1.61103</w:t>
        </w:r>
      </w:hyperlink>
    </w:p>
    <w:p w14:paraId="7103669F" w14:textId="763163FD" w:rsidR="00402127" w:rsidRDefault="00402127" w:rsidP="00402127">
      <w:pPr>
        <w:pStyle w:val="Bibliographie"/>
      </w:pPr>
      <w:r>
        <w:t xml:space="preserve">Bergersen, F. J. (1970). The Quantitative Relationship between Nitrogen Fixation and the Acetylene-Reduction Assay. </w:t>
      </w:r>
      <w:r>
        <w:rPr>
          <w:i/>
          <w:iCs/>
        </w:rPr>
        <w:t>Australian Journal of Biological Sciences</w:t>
      </w:r>
      <w:r>
        <w:t xml:space="preserve">, </w:t>
      </w:r>
      <w:r>
        <w:rPr>
          <w:i/>
          <w:iCs/>
        </w:rPr>
        <w:t>23</w:t>
      </w:r>
      <w:r>
        <w:t xml:space="preserve">(4), Article 4. </w:t>
      </w:r>
      <w:hyperlink r:id="rId20" w:history="1">
        <w:r w:rsidRPr="00402127">
          <w:rPr>
            <w:rStyle w:val="Lienhypertexte"/>
          </w:rPr>
          <w:t>https://doi.org/10.1071/bi9701015</w:t>
        </w:r>
      </w:hyperlink>
    </w:p>
    <w:p w14:paraId="2A84C8DD" w14:textId="4115BBA3" w:rsidR="00402127" w:rsidRDefault="00402127" w:rsidP="00402127">
      <w:pPr>
        <w:pStyle w:val="Bibliographie"/>
      </w:pPr>
      <w:r>
        <w:t xml:space="preserve">Bowers, T. H., Reid, N. M., &amp; Lloyd-Jones, G. (2008). Composition of nifH in a wastewater treatment system reliant on N2 fixation. </w:t>
      </w:r>
      <w:r>
        <w:rPr>
          <w:i/>
          <w:iCs/>
        </w:rPr>
        <w:t>Applied Microbiology and Biotechnology</w:t>
      </w:r>
      <w:r>
        <w:t xml:space="preserve">, </w:t>
      </w:r>
      <w:r>
        <w:rPr>
          <w:i/>
          <w:iCs/>
        </w:rPr>
        <w:t>79</w:t>
      </w:r>
      <w:r>
        <w:t xml:space="preserve">(5), 811–818. </w:t>
      </w:r>
      <w:hyperlink r:id="rId21" w:history="1">
        <w:r w:rsidRPr="00402127">
          <w:rPr>
            <w:rStyle w:val="Lienhypertexte"/>
          </w:rPr>
          <w:t>https://doi.org/10.1007/s00253-008-1486-2</w:t>
        </w:r>
      </w:hyperlink>
    </w:p>
    <w:p w14:paraId="431A9DBA" w14:textId="00BDD856" w:rsidR="00402127" w:rsidRDefault="00402127" w:rsidP="00402127">
      <w:pPr>
        <w:pStyle w:val="Bibliographie"/>
      </w:pPr>
      <w:r>
        <w:t xml:space="preserve">Bueno Batista, M., &amp; Dixon, R. (2019). Manipulating nitrogen regulation in diazotrophic bacteria for agronomic benefit. </w:t>
      </w:r>
      <w:r>
        <w:rPr>
          <w:i/>
          <w:iCs/>
        </w:rPr>
        <w:t>Biochemical Society Transactions</w:t>
      </w:r>
      <w:r>
        <w:t xml:space="preserve">, </w:t>
      </w:r>
      <w:r>
        <w:rPr>
          <w:i/>
          <w:iCs/>
        </w:rPr>
        <w:t>47</w:t>
      </w:r>
      <w:r>
        <w:t xml:space="preserve">(2), 603–614. </w:t>
      </w:r>
      <w:hyperlink r:id="rId22" w:history="1">
        <w:r w:rsidRPr="00402127">
          <w:rPr>
            <w:rStyle w:val="Lienhypertexte"/>
          </w:rPr>
          <w:t>https://doi.org/10.1042/BST20180342</w:t>
        </w:r>
      </w:hyperlink>
    </w:p>
    <w:p w14:paraId="6F21C16F" w14:textId="3963598B" w:rsidR="00402127" w:rsidRDefault="00402127" w:rsidP="00402127">
      <w:pPr>
        <w:pStyle w:val="Bibliographie"/>
      </w:pPr>
      <w:r>
        <w:t xml:space="preserve">Burris, R. H., &amp; Roberts, G. P. (1993). Biological Nitrogen Fixation. </w:t>
      </w:r>
      <w:r>
        <w:rPr>
          <w:i/>
          <w:iCs/>
        </w:rPr>
        <w:t>Annual Review of Nutrition</w:t>
      </w:r>
      <w:r>
        <w:t xml:space="preserve">, </w:t>
      </w:r>
      <w:r>
        <w:rPr>
          <w:i/>
          <w:iCs/>
        </w:rPr>
        <w:t>13</w:t>
      </w:r>
      <w:r>
        <w:t xml:space="preserve">(1), Article 1. </w:t>
      </w:r>
      <w:hyperlink r:id="rId23" w:history="1">
        <w:r w:rsidRPr="00402127">
          <w:rPr>
            <w:rStyle w:val="Lienhypertexte"/>
          </w:rPr>
          <w:t>https://doi.org/10.1146/annurev.nu.13.070193.001533</w:t>
        </w:r>
      </w:hyperlink>
    </w:p>
    <w:p w14:paraId="7D06A97F" w14:textId="1E69FC44" w:rsidR="00402127" w:rsidRDefault="00402127" w:rsidP="00402127">
      <w:pPr>
        <w:pStyle w:val="Bibliographie"/>
      </w:pPr>
      <w:r>
        <w:t xml:space="preserve">Carmona-Martínez, A. A., Trably, E., Milferstedt, K., Lacroix, R., Etcheverry, L., &amp; Bernet, N. (2015). Long-term continuous production of H2 in a microbial electrolysis cell (MEC) treating saline wastewater. </w:t>
      </w:r>
      <w:r>
        <w:rPr>
          <w:i/>
          <w:iCs/>
        </w:rPr>
        <w:t>Water Research</w:t>
      </w:r>
      <w:r>
        <w:t xml:space="preserve">, </w:t>
      </w:r>
      <w:r>
        <w:rPr>
          <w:i/>
          <w:iCs/>
        </w:rPr>
        <w:t>81</w:t>
      </w:r>
      <w:r>
        <w:t xml:space="preserve">, 149–156. </w:t>
      </w:r>
      <w:hyperlink r:id="rId24" w:history="1">
        <w:r w:rsidRPr="00402127">
          <w:rPr>
            <w:rStyle w:val="Lienhypertexte"/>
          </w:rPr>
          <w:t>https://doi.org/10.1016/j.watres.2015.05.041</w:t>
        </w:r>
      </w:hyperlink>
    </w:p>
    <w:p w14:paraId="03A155D1" w14:textId="48DF27D3" w:rsidR="00402127" w:rsidRDefault="00402127" w:rsidP="00402127">
      <w:pPr>
        <w:pStyle w:val="Bibliographie"/>
      </w:pPr>
      <w:r>
        <w:t xml:space="preserve">Cassan, F., &amp; García de Salamone, I. (2008). </w:t>
      </w:r>
      <w:r>
        <w:rPr>
          <w:i/>
          <w:iCs/>
        </w:rPr>
        <w:t>Azospirillum: Cell physiology, plant response, agronomic and environmental research in Argentina</w:t>
      </w:r>
      <w:r>
        <w:t>.</w:t>
      </w:r>
      <w:r w:rsidR="008D4044">
        <w:t xml:space="preserve"> ISBN 978-987-98475-8-9</w:t>
      </w:r>
    </w:p>
    <w:p w14:paraId="5F65DCF5" w14:textId="0B5F5511" w:rsidR="00402127" w:rsidRDefault="00402127" w:rsidP="00402127">
      <w:pPr>
        <w:pStyle w:val="Bibliographie"/>
      </w:pPr>
      <w:r>
        <w:t xml:space="preserve">Chakraborty, T., &amp; Akhtar, N. (2021). Biofertilizers: Prospects and Challenges for Future. In </w:t>
      </w:r>
      <w:r>
        <w:rPr>
          <w:i/>
          <w:iCs/>
        </w:rPr>
        <w:t>Biofertilizers</w:t>
      </w:r>
      <w:r>
        <w:t xml:space="preserve"> (pp. 575–590). John Wiley &amp; Sons, Ltd.</w:t>
      </w:r>
      <w:hyperlink r:id="rId25" w:history="1">
        <w:r w:rsidRPr="00402127">
          <w:rPr>
            <w:rStyle w:val="Lienhypertexte"/>
          </w:rPr>
          <w:t xml:space="preserve"> https://doi.org/10.1002/9781119724995.ch20</w:t>
        </w:r>
      </w:hyperlink>
    </w:p>
    <w:p w14:paraId="61DA9F62" w14:textId="4F3BDF69" w:rsidR="00402127" w:rsidRDefault="00402127" w:rsidP="00402127">
      <w:pPr>
        <w:pStyle w:val="Bibliographie"/>
      </w:pPr>
      <w:r>
        <w:lastRenderedPageBreak/>
        <w:t xml:space="preserve">Chen, S., Jing, X., Yan, Y., Huang, S., Liu, X., Chen, P., &amp; Zhou, S. (2020). Bioelectrochemical nitrogen fixation to extracellular ammonium by Pseudomonas stutzeri. </w:t>
      </w:r>
      <w:r>
        <w:rPr>
          <w:i/>
          <w:iCs/>
        </w:rPr>
        <w:t>Applied and Environmental Microbiology</w:t>
      </w:r>
      <w:r w:rsidR="008D4044">
        <w:t>,</w:t>
      </w:r>
      <w:r>
        <w:t xml:space="preserve"> </w:t>
      </w:r>
      <w:r w:rsidR="008D4044">
        <w:t xml:space="preserve">87(5). </w:t>
      </w:r>
      <w:hyperlink r:id="rId26" w:history="1">
        <w:r w:rsidRPr="00402127">
          <w:rPr>
            <w:rStyle w:val="Lienhypertexte"/>
          </w:rPr>
          <w:t>https://doi.org/10.1128/AEM.01998-20</w:t>
        </w:r>
      </w:hyperlink>
    </w:p>
    <w:p w14:paraId="1B216086" w14:textId="4BFE6D20" w:rsidR="00402127" w:rsidRDefault="00402127" w:rsidP="00402127">
      <w:pPr>
        <w:pStyle w:val="Bibliographie"/>
      </w:pPr>
      <w:r>
        <w:t xml:space="preserve">Cherkasov, N., Ibhadon, A. O., &amp; Fitzpatrick, P. (2015). A review of the existing and alternative methods for greener nitrogen fixation. </w:t>
      </w:r>
      <w:r>
        <w:rPr>
          <w:i/>
          <w:iCs/>
        </w:rPr>
        <w:t>Chemical Engineering and Processing: Process Intensification</w:t>
      </w:r>
      <w:r>
        <w:t xml:space="preserve">, </w:t>
      </w:r>
      <w:r>
        <w:rPr>
          <w:i/>
          <w:iCs/>
        </w:rPr>
        <w:t>90</w:t>
      </w:r>
      <w:r>
        <w:t xml:space="preserve">, 24–33. </w:t>
      </w:r>
      <w:hyperlink r:id="rId27" w:history="1">
        <w:r w:rsidRPr="008D4044">
          <w:rPr>
            <w:rStyle w:val="Lienhypertexte"/>
          </w:rPr>
          <w:t>https://doi.org/10.1016/j.cep.2015.02.004</w:t>
        </w:r>
      </w:hyperlink>
    </w:p>
    <w:p w14:paraId="6A80BA10" w14:textId="4E0BD208" w:rsidR="00402127" w:rsidRPr="00025F4C" w:rsidRDefault="00402127" w:rsidP="00402127">
      <w:pPr>
        <w:pStyle w:val="Bibliographie"/>
      </w:pPr>
      <w:r>
        <w:t xml:space="preserve">Deng, J., Iñiguez, J. A., &amp; Liu, C. (2018). Electrocatalytic Nitrogen Reduction at Low Temperature. </w:t>
      </w:r>
      <w:r w:rsidRPr="00025F4C">
        <w:rPr>
          <w:i/>
          <w:iCs/>
        </w:rPr>
        <w:t>Joule</w:t>
      </w:r>
      <w:r w:rsidRPr="00025F4C">
        <w:t xml:space="preserve">, </w:t>
      </w:r>
      <w:r w:rsidRPr="00025F4C">
        <w:rPr>
          <w:i/>
          <w:iCs/>
        </w:rPr>
        <w:t>2</w:t>
      </w:r>
      <w:r w:rsidRPr="00025F4C">
        <w:t xml:space="preserve">(5), 846–856. </w:t>
      </w:r>
      <w:hyperlink r:id="rId28" w:history="1">
        <w:r w:rsidRPr="00025F4C">
          <w:rPr>
            <w:rStyle w:val="Lienhypertexte"/>
          </w:rPr>
          <w:t>https://doi.org/10.1016/j.joule.2018.04.014</w:t>
        </w:r>
      </w:hyperlink>
    </w:p>
    <w:p w14:paraId="676ED94B" w14:textId="65500AFA" w:rsidR="00402127" w:rsidRDefault="00402127" w:rsidP="00402127">
      <w:pPr>
        <w:pStyle w:val="Bibliographie"/>
      </w:pPr>
      <w:r w:rsidRPr="00025F4C">
        <w:t xml:space="preserve">Dos Santos, P. C., Fang, Z., Mason, S. W., Setubal, J. C., &amp; Dixon, R. (2012). </w:t>
      </w:r>
      <w:r>
        <w:t xml:space="preserve">Distribution of nitrogen fixation and nitrogenase-like sequences amongst microbial genomes. </w:t>
      </w:r>
      <w:r>
        <w:rPr>
          <w:i/>
          <w:iCs/>
        </w:rPr>
        <w:t>BMC Genomics</w:t>
      </w:r>
      <w:r>
        <w:t xml:space="preserve">, </w:t>
      </w:r>
      <w:r>
        <w:rPr>
          <w:i/>
          <w:iCs/>
        </w:rPr>
        <w:t>13</w:t>
      </w:r>
      <w:r>
        <w:t xml:space="preserve">(1), 162. </w:t>
      </w:r>
      <w:hyperlink r:id="rId29" w:history="1">
        <w:r w:rsidRPr="008D4044">
          <w:rPr>
            <w:rStyle w:val="Lienhypertexte"/>
          </w:rPr>
          <w:t>https://doi.org/10.1186/1471-2164-13-162</w:t>
        </w:r>
      </w:hyperlink>
    </w:p>
    <w:p w14:paraId="2292F827" w14:textId="205AE87B" w:rsidR="00402127" w:rsidRDefault="00402127" w:rsidP="00402127">
      <w:pPr>
        <w:pStyle w:val="Bibliographie"/>
      </w:pPr>
      <w:r>
        <w:t xml:space="preserve">Franche, C., Lindström, K., &amp; Elmerich, C. (2009). Nitrogen-fixing bacteria associated with leguminous and non-leguminous plants. </w:t>
      </w:r>
      <w:r>
        <w:rPr>
          <w:i/>
          <w:iCs/>
        </w:rPr>
        <w:t>Plant and Soil</w:t>
      </w:r>
      <w:r>
        <w:t xml:space="preserve">, </w:t>
      </w:r>
      <w:r>
        <w:rPr>
          <w:i/>
          <w:iCs/>
        </w:rPr>
        <w:t>321</w:t>
      </w:r>
      <w:r>
        <w:t xml:space="preserve">(1), 35–59. </w:t>
      </w:r>
      <w:hyperlink r:id="rId30" w:history="1">
        <w:r w:rsidRPr="008D4044">
          <w:rPr>
            <w:rStyle w:val="Lienhypertexte"/>
          </w:rPr>
          <w:t>https://doi.org/10.1007/s11104-008-9833-8</w:t>
        </w:r>
      </w:hyperlink>
    </w:p>
    <w:p w14:paraId="7B46A4D7" w14:textId="405FAB92" w:rsidR="00402127" w:rsidRDefault="00402127" w:rsidP="00402127">
      <w:pPr>
        <w:pStyle w:val="Bibliographie"/>
      </w:pPr>
      <w:r>
        <w:t xml:space="preserve">Gaby, J. C., &amp; Buckley, D. H. (2012). A Comprehensive Evaluation of PCR Primers to Amplify the nifH Gene of Nitrogenase. </w:t>
      </w:r>
      <w:r>
        <w:rPr>
          <w:i/>
          <w:iCs/>
        </w:rPr>
        <w:t>PLoS ONE</w:t>
      </w:r>
      <w:r>
        <w:t xml:space="preserve">, </w:t>
      </w:r>
      <w:r>
        <w:rPr>
          <w:i/>
          <w:iCs/>
        </w:rPr>
        <w:t>7</w:t>
      </w:r>
      <w:r>
        <w:t xml:space="preserve">(7), e42149. </w:t>
      </w:r>
      <w:hyperlink r:id="rId31" w:history="1">
        <w:r w:rsidRPr="008D4044">
          <w:rPr>
            <w:rStyle w:val="Lienhypertexte"/>
          </w:rPr>
          <w:t>https://doi.org/10.1371/journal.pone.0042149</w:t>
        </w:r>
      </w:hyperlink>
    </w:p>
    <w:p w14:paraId="602EC08B" w14:textId="53B4C154" w:rsidR="00402127" w:rsidRDefault="00402127" w:rsidP="00402127">
      <w:pPr>
        <w:pStyle w:val="Bibliographie"/>
      </w:pPr>
      <w:r>
        <w:t xml:space="preserve">Ghodhbane-Gtari, F., Nouioui, I., Hezbri, K., Lundstedt, E., D’Angelo, T., McNutt, Z., Laplaze, L., Gherbi, H., Vaissayre, V., Svistoonoff, S., Ahmed, H. ben, Boudabous, A., &amp; Tisa, L. S. (2019). The plant-growth-promoting actinobacteria of the genus Nocardia induces root nodule formation in Casuarina glauca. </w:t>
      </w:r>
      <w:r>
        <w:rPr>
          <w:i/>
          <w:iCs/>
        </w:rPr>
        <w:t>Antonie van Leeuwenhoek</w:t>
      </w:r>
      <w:r>
        <w:t xml:space="preserve">, </w:t>
      </w:r>
      <w:r>
        <w:rPr>
          <w:i/>
          <w:iCs/>
        </w:rPr>
        <w:t>112</w:t>
      </w:r>
      <w:r>
        <w:t xml:space="preserve">(1), 75–90. </w:t>
      </w:r>
      <w:hyperlink r:id="rId32" w:history="1">
        <w:r w:rsidRPr="008D4044">
          <w:rPr>
            <w:rStyle w:val="Lienhypertexte"/>
          </w:rPr>
          <w:t>https://doi.org/10.1007/s10482-018-1147-0</w:t>
        </w:r>
      </w:hyperlink>
    </w:p>
    <w:p w14:paraId="7C9D78D2" w14:textId="7B269244" w:rsidR="00402127" w:rsidRDefault="00402127" w:rsidP="00402127">
      <w:pPr>
        <w:pStyle w:val="Bibliographie"/>
      </w:pPr>
      <w:r>
        <w:t xml:space="preserve">Hardy, R. W. F., Burns, R. C., &amp; Holsten, R. D. (1973). Applications of the acetylene-ethylene assay for measurement of nitrogen fixation. </w:t>
      </w:r>
      <w:r>
        <w:rPr>
          <w:i/>
          <w:iCs/>
        </w:rPr>
        <w:t>Soil Biology and Biochemistry</w:t>
      </w:r>
      <w:r>
        <w:t xml:space="preserve">, </w:t>
      </w:r>
      <w:r>
        <w:rPr>
          <w:i/>
          <w:iCs/>
        </w:rPr>
        <w:t>5</w:t>
      </w:r>
      <w:r>
        <w:t xml:space="preserve">(1), 47–81. </w:t>
      </w:r>
      <w:hyperlink r:id="rId33" w:history="1">
        <w:r w:rsidRPr="008D4044">
          <w:rPr>
            <w:rStyle w:val="Lienhypertexte"/>
          </w:rPr>
          <w:t>https://doi.org/10.1016/0038-0717(73)90093-X</w:t>
        </w:r>
      </w:hyperlink>
    </w:p>
    <w:p w14:paraId="403118CF" w14:textId="78BA0B6A" w:rsidR="00402127" w:rsidRDefault="00402127" w:rsidP="00402127">
      <w:pPr>
        <w:pStyle w:val="Bibliographie"/>
      </w:pPr>
      <w:r>
        <w:t xml:space="preserve">Heldal, M., Norland, S., &amp; Tumyr, O. (1985). X-ray microanalytic method for measurement of dry matter and elemental content of individual bacteria. </w:t>
      </w:r>
      <w:r>
        <w:rPr>
          <w:i/>
          <w:iCs/>
        </w:rPr>
        <w:t>Applied and Environmental Microbiology</w:t>
      </w:r>
      <w:r>
        <w:t xml:space="preserve">, </w:t>
      </w:r>
      <w:r>
        <w:rPr>
          <w:i/>
          <w:iCs/>
        </w:rPr>
        <w:t>50</w:t>
      </w:r>
      <w:r>
        <w:t xml:space="preserve">(5), 1251–1257. </w:t>
      </w:r>
      <w:hyperlink r:id="rId34" w:history="1">
        <w:r w:rsidRPr="008D4044">
          <w:rPr>
            <w:rStyle w:val="Lienhypertexte"/>
          </w:rPr>
          <w:t>https://doi.org/10.1128/aem.50.5.1251-1257.1985</w:t>
        </w:r>
      </w:hyperlink>
    </w:p>
    <w:p w14:paraId="3691953E" w14:textId="0AB2BB21" w:rsidR="00402127" w:rsidRDefault="00402127" w:rsidP="00402127">
      <w:pPr>
        <w:pStyle w:val="Bibliographie"/>
      </w:pPr>
      <w:r>
        <w:t xml:space="preserve">Hu, J., Tang, H., Wang, Y. Z., Yang, C., Gao, M., Tsang, Y. F., &amp; Li, J. (2022). Effect of dissolved solids released from biochar on soil microbial metabolism. </w:t>
      </w:r>
      <w:r>
        <w:rPr>
          <w:i/>
          <w:iCs/>
        </w:rPr>
        <w:t>Environmental Science: Processes &amp; Impacts</w:t>
      </w:r>
      <w:r>
        <w:t xml:space="preserve">, </w:t>
      </w:r>
      <w:r>
        <w:rPr>
          <w:i/>
          <w:iCs/>
        </w:rPr>
        <w:t>24</w:t>
      </w:r>
      <w:r>
        <w:t xml:space="preserve">(4), 598–608. </w:t>
      </w:r>
      <w:hyperlink r:id="rId35" w:history="1">
        <w:r w:rsidRPr="008D4044">
          <w:rPr>
            <w:rStyle w:val="Lienhypertexte"/>
          </w:rPr>
          <w:t>https://doi.org/10.1039/D2EM00036A</w:t>
        </w:r>
      </w:hyperlink>
    </w:p>
    <w:p w14:paraId="0A172F69" w14:textId="2813BA90" w:rsidR="00402127" w:rsidRDefault="00402127" w:rsidP="00402127">
      <w:pPr>
        <w:pStyle w:val="Bibliographie"/>
      </w:pPr>
      <w:r>
        <w:t xml:space="preserve">Hu, X., Kerckhof, F.-M., Ghesquière, J., Bernaerts, K., Boeckx, P., Clauwaert, P., &amp; Boon, N. (2020). Microbial Protein out of Thin Air: Fixation of Nitrogen Gas by an Autotrophic Hydrogen-Oxidizing Bacterial Enrichment. </w:t>
      </w:r>
      <w:r>
        <w:rPr>
          <w:i/>
          <w:iCs/>
        </w:rPr>
        <w:t>Environmental Science &amp; Technology</w:t>
      </w:r>
      <w:r>
        <w:t xml:space="preserve">, </w:t>
      </w:r>
      <w:r>
        <w:rPr>
          <w:i/>
          <w:iCs/>
        </w:rPr>
        <w:t>54</w:t>
      </w:r>
      <w:r>
        <w:t xml:space="preserve">(6), Article 6. </w:t>
      </w:r>
      <w:hyperlink r:id="rId36" w:history="1">
        <w:r w:rsidRPr="008D4044">
          <w:rPr>
            <w:rStyle w:val="Lienhypertexte"/>
          </w:rPr>
          <w:t>https://doi.org/10.1021/acs.est.9b06755</w:t>
        </w:r>
      </w:hyperlink>
    </w:p>
    <w:p w14:paraId="3682985A" w14:textId="68D3D517" w:rsidR="00402127" w:rsidRDefault="00402127" w:rsidP="00402127">
      <w:pPr>
        <w:pStyle w:val="Bibliographie"/>
      </w:pPr>
      <w:r>
        <w:t xml:space="preserve">Huda, N. ul, Tanvir, R., Badar, J., Ali, I., &amp; Rehman, Y. (2022). Arsenic-Resistant Plant Growth Promoting Pseudoxanthomonas mexicana S254 and Stenotrophomonas maltophilia S255 Isolated from Agriculture Soil Contaminated by Industrial Effluent. </w:t>
      </w:r>
      <w:r>
        <w:rPr>
          <w:i/>
          <w:iCs/>
        </w:rPr>
        <w:t>Sustainability</w:t>
      </w:r>
      <w:r>
        <w:t xml:space="preserve">, </w:t>
      </w:r>
      <w:r>
        <w:rPr>
          <w:i/>
          <w:iCs/>
        </w:rPr>
        <w:t>14</w:t>
      </w:r>
      <w:r>
        <w:t xml:space="preserve">(17), Article 17. </w:t>
      </w:r>
      <w:hyperlink r:id="rId37" w:history="1">
        <w:r w:rsidRPr="008D4044">
          <w:rPr>
            <w:rStyle w:val="Lienhypertexte"/>
          </w:rPr>
          <w:t>https://doi.org/10.3390/su141710697</w:t>
        </w:r>
      </w:hyperlink>
    </w:p>
    <w:p w14:paraId="4B1B79EE" w14:textId="52396971" w:rsidR="00402127" w:rsidRDefault="00402127" w:rsidP="00402127">
      <w:pPr>
        <w:pStyle w:val="Bibliographie"/>
      </w:pPr>
      <w:r>
        <w:t xml:space="preserve">Kandemir, T., Schuster, M. E., Senyshyn, A., Behrens, M., &amp; Schlögl, R. (2013). The Haber–Bosch Process Revisited: On the Real Structure and Stability of “Ammonia Iron” under Working Conditions. </w:t>
      </w:r>
      <w:r>
        <w:rPr>
          <w:i/>
          <w:iCs/>
        </w:rPr>
        <w:lastRenderedPageBreak/>
        <w:t>Angewandte Chemie International Edition</w:t>
      </w:r>
      <w:r>
        <w:t xml:space="preserve">, </w:t>
      </w:r>
      <w:r>
        <w:rPr>
          <w:i/>
          <w:iCs/>
        </w:rPr>
        <w:t>52</w:t>
      </w:r>
      <w:r>
        <w:t xml:space="preserve">(48), Article 48. </w:t>
      </w:r>
      <w:hyperlink r:id="rId38" w:history="1">
        <w:r w:rsidRPr="008D4044">
          <w:rPr>
            <w:rStyle w:val="Lienhypertexte"/>
          </w:rPr>
          <w:t>https://doi.org/10.1002/anie.201305812</w:t>
        </w:r>
      </w:hyperlink>
    </w:p>
    <w:p w14:paraId="78217301" w14:textId="23BEB8F1" w:rsidR="00402127" w:rsidRDefault="00402127" w:rsidP="00402127">
      <w:pPr>
        <w:pStyle w:val="Bibliographie"/>
      </w:pPr>
      <w:r>
        <w:t xml:space="preserve">Khan, K. S., Mack, R., Castillo, X., Kaiser, M., &amp; Joergensen, R. G. (2016). Microbial biomass, fungal and bacterial residues, and their relationships to the soil organic matter C/N/P/S ratios. </w:t>
      </w:r>
      <w:r>
        <w:rPr>
          <w:i/>
          <w:iCs/>
        </w:rPr>
        <w:t>Geoderma</w:t>
      </w:r>
      <w:r>
        <w:t xml:space="preserve">, </w:t>
      </w:r>
      <w:r>
        <w:rPr>
          <w:i/>
          <w:iCs/>
        </w:rPr>
        <w:t>271</w:t>
      </w:r>
      <w:r>
        <w:t xml:space="preserve">, 115–123. </w:t>
      </w:r>
      <w:hyperlink r:id="rId39" w:history="1">
        <w:r w:rsidRPr="008D4044">
          <w:rPr>
            <w:rStyle w:val="Lienhypertexte"/>
          </w:rPr>
          <w:t>https://doi.org/10.1016/j.geoderma.2016.02.019</w:t>
        </w:r>
      </w:hyperlink>
    </w:p>
    <w:p w14:paraId="3645DB82" w14:textId="48E94885" w:rsidR="00402127" w:rsidRDefault="00402127" w:rsidP="00402127">
      <w:pPr>
        <w:pStyle w:val="Bibliographie"/>
      </w:pPr>
      <w:r>
        <w:t xml:space="preserve">Kifle, M. H., &amp; Laing, M. D. (2016). Isolation and Screening of Bacteria for Their Diazotrophic Potential and Their Influence on Growth Promotion of Maize Seedlings in Greenhouses. </w:t>
      </w:r>
      <w:r>
        <w:rPr>
          <w:i/>
          <w:iCs/>
        </w:rPr>
        <w:t>Frontiers in Plant Science</w:t>
      </w:r>
      <w:r>
        <w:t xml:space="preserve">, </w:t>
      </w:r>
      <w:r>
        <w:rPr>
          <w:i/>
          <w:iCs/>
        </w:rPr>
        <w:t>6</w:t>
      </w:r>
      <w:r>
        <w:t xml:space="preserve">. </w:t>
      </w:r>
      <w:hyperlink r:id="rId40" w:history="1">
        <w:r w:rsidRPr="008D4044">
          <w:rPr>
            <w:rStyle w:val="Lienhypertexte"/>
          </w:rPr>
          <w:t>https://doi.org/10.3389/fpls.2015.01225</w:t>
        </w:r>
      </w:hyperlink>
    </w:p>
    <w:p w14:paraId="3102E4AB" w14:textId="53A45013" w:rsidR="00402127" w:rsidRDefault="00402127" w:rsidP="00402127">
      <w:pPr>
        <w:pStyle w:val="Bibliographie"/>
      </w:pPr>
      <w:r>
        <w:t xml:space="preserve">Kim, J., &amp; Rees, D. C. (1994). Nitrogenase and biological nitrogen fixation. </w:t>
      </w:r>
      <w:r>
        <w:rPr>
          <w:i/>
          <w:iCs/>
        </w:rPr>
        <w:t>Biochemistry</w:t>
      </w:r>
      <w:r>
        <w:t xml:space="preserve">, </w:t>
      </w:r>
      <w:r>
        <w:rPr>
          <w:i/>
          <w:iCs/>
        </w:rPr>
        <w:t>33</w:t>
      </w:r>
      <w:r>
        <w:t xml:space="preserve">(2), Article 2. </w:t>
      </w:r>
      <w:hyperlink r:id="rId41" w:history="1">
        <w:r w:rsidRPr="008D4044">
          <w:rPr>
            <w:rStyle w:val="Lienhypertexte"/>
          </w:rPr>
          <w:t>https://doi.org/10.1021/bi00168a001</w:t>
        </w:r>
      </w:hyperlink>
    </w:p>
    <w:p w14:paraId="570B30D0" w14:textId="114F16D2" w:rsidR="00402127" w:rsidRDefault="00402127" w:rsidP="00402127">
      <w:pPr>
        <w:pStyle w:val="Bibliographie"/>
      </w:pPr>
      <w:r>
        <w:t xml:space="preserve">Klemps, R., Cypionka, H., Widdel, F., &amp; Pfennig, N. (1985). Growth with hydrogen, and further physiological characteristics of Desulfotomaculum species. </w:t>
      </w:r>
      <w:r>
        <w:rPr>
          <w:i/>
          <w:iCs/>
        </w:rPr>
        <w:t>Archives of Microbiology</w:t>
      </w:r>
      <w:r>
        <w:t xml:space="preserve">, </w:t>
      </w:r>
      <w:r>
        <w:rPr>
          <w:i/>
          <w:iCs/>
        </w:rPr>
        <w:t>143</w:t>
      </w:r>
      <w:r>
        <w:t xml:space="preserve">(2), 203–208. </w:t>
      </w:r>
      <w:hyperlink r:id="rId42" w:history="1">
        <w:r w:rsidRPr="008D4044">
          <w:rPr>
            <w:rStyle w:val="Lienhypertexte"/>
          </w:rPr>
          <w:t>https://doi.org/10.1007/BF00411048</w:t>
        </w:r>
      </w:hyperlink>
    </w:p>
    <w:p w14:paraId="635C7A58" w14:textId="5B56A68B" w:rsidR="00402127" w:rsidRDefault="00402127" w:rsidP="00402127">
      <w:pPr>
        <w:pStyle w:val="Bibliographie"/>
      </w:pPr>
      <w:r>
        <w:t xml:space="preserve">Li, F., Li, F., Lin, Y., Guo, L., Zhang, L., Li, R., Tian, Q., Wang, Y., Wang, Y., Zhang, X., Liu, J., &amp; Fan, C. (2022). Investigating the performance and mechanism of nitrogen gas fixation and conversion to ammonia based on biocathode bioelectrochemistry system. </w:t>
      </w:r>
      <w:r>
        <w:rPr>
          <w:i/>
          <w:iCs/>
        </w:rPr>
        <w:t>Journal of Chemical Technology &amp; Biotechnology</w:t>
      </w:r>
      <w:r>
        <w:t xml:space="preserve">, </w:t>
      </w:r>
      <w:r>
        <w:rPr>
          <w:i/>
          <w:iCs/>
        </w:rPr>
        <w:t>97</w:t>
      </w:r>
      <w:r>
        <w:t xml:space="preserve">(8), 2163–2170. </w:t>
      </w:r>
      <w:hyperlink r:id="rId43" w:history="1">
        <w:r w:rsidRPr="008D4044">
          <w:rPr>
            <w:rStyle w:val="Lienhypertexte"/>
          </w:rPr>
          <w:t>https://doi.org/10.1002/jctb.7092</w:t>
        </w:r>
      </w:hyperlink>
    </w:p>
    <w:p w14:paraId="6DCE798D" w14:textId="29353EAA" w:rsidR="00402127" w:rsidRDefault="00402127" w:rsidP="00402127">
      <w:pPr>
        <w:pStyle w:val="Bibliographie"/>
      </w:pPr>
      <w:r>
        <w:t xml:space="preserve">Liu, A., Yang, Y., Ren, X., Zhao, Q., Gao, M., Guan, W., Meng, F., Gao, L., Yang, Q., Liang, X., &amp; Ma, T. (2020). Current Progress of Electrocatalysts for Ammonia Synthesis Through Electrochemical Nitrogen Reduction Under Ambient Conditions. </w:t>
      </w:r>
      <w:r>
        <w:rPr>
          <w:i/>
          <w:iCs/>
        </w:rPr>
        <w:t>ChemSusChem</w:t>
      </w:r>
      <w:r>
        <w:t xml:space="preserve">, </w:t>
      </w:r>
      <w:r>
        <w:rPr>
          <w:i/>
          <w:iCs/>
        </w:rPr>
        <w:t>13</w:t>
      </w:r>
      <w:r>
        <w:t xml:space="preserve">(15), 3766–3788. </w:t>
      </w:r>
      <w:hyperlink r:id="rId44" w:history="1">
        <w:r w:rsidRPr="008D4044">
          <w:rPr>
            <w:rStyle w:val="Lienhypertexte"/>
          </w:rPr>
          <w:t>https://doi.org/10.1002/cssc.202000487</w:t>
        </w:r>
      </w:hyperlink>
    </w:p>
    <w:p w14:paraId="251A1288" w14:textId="4142EFB1" w:rsidR="00402127" w:rsidRDefault="00402127" w:rsidP="00402127">
      <w:pPr>
        <w:pStyle w:val="Bibliographie"/>
      </w:pPr>
      <w:r>
        <w:t xml:space="preserve">Liu, C., Sakimoto, K. K., Colón, B. C., Silver, P. A., &amp; Nocera, D. G. (2017). Ambient nitrogen reduction cycle using a hybrid inorganic–biological system. </w:t>
      </w:r>
      <w:r>
        <w:rPr>
          <w:i/>
          <w:iCs/>
        </w:rPr>
        <w:t>Proceedings of the National Academy of Sciences</w:t>
      </w:r>
      <w:r>
        <w:t xml:space="preserve">, </w:t>
      </w:r>
      <w:r>
        <w:rPr>
          <w:i/>
          <w:iCs/>
        </w:rPr>
        <w:t>114</w:t>
      </w:r>
      <w:r>
        <w:t xml:space="preserve">(25), Article 25. </w:t>
      </w:r>
      <w:hyperlink r:id="rId45" w:history="1">
        <w:r w:rsidRPr="008D4044">
          <w:rPr>
            <w:rStyle w:val="Lienhypertexte"/>
          </w:rPr>
          <w:t>https://doi.org/10.1073/pnas.1706371114</w:t>
        </w:r>
      </w:hyperlink>
    </w:p>
    <w:p w14:paraId="7445AC11" w14:textId="16419EF2" w:rsidR="00402127" w:rsidRPr="00025F4C" w:rsidRDefault="00402127" w:rsidP="00402127">
      <w:pPr>
        <w:pStyle w:val="Bibliographie"/>
        <w:rPr>
          <w:lang w:val="en-US"/>
        </w:rPr>
      </w:pPr>
      <w:r>
        <w:t xml:space="preserve">Liu, F., Zhao, C., Xia, L., Yang, F., Chang, X., &amp; Wang, Y. (2011). Biofouling characteristics and identification of preponderant bacteria at different nutrient levels in batch tests of a recirculating cooling water system. </w:t>
      </w:r>
      <w:r w:rsidRPr="00025F4C">
        <w:rPr>
          <w:i/>
          <w:iCs/>
          <w:lang w:val="en-US"/>
        </w:rPr>
        <w:t>Environmental Technology</w:t>
      </w:r>
      <w:r w:rsidRPr="00025F4C">
        <w:rPr>
          <w:lang w:val="en-US"/>
        </w:rPr>
        <w:t xml:space="preserve">, </w:t>
      </w:r>
      <w:r w:rsidRPr="00025F4C">
        <w:rPr>
          <w:i/>
          <w:iCs/>
          <w:lang w:val="en-US"/>
        </w:rPr>
        <w:t>32</w:t>
      </w:r>
      <w:r w:rsidRPr="00025F4C">
        <w:rPr>
          <w:lang w:val="en-US"/>
        </w:rPr>
        <w:t xml:space="preserve">(8), 901–910. </w:t>
      </w:r>
      <w:hyperlink r:id="rId46" w:history="1">
        <w:r w:rsidRPr="00025F4C">
          <w:rPr>
            <w:rStyle w:val="Lienhypertexte"/>
            <w:lang w:val="en-US"/>
          </w:rPr>
          <w:t>https://doi.org/10.1080/09593330.2010.517220</w:t>
        </w:r>
      </w:hyperlink>
    </w:p>
    <w:p w14:paraId="2FE6FF03" w14:textId="7F213A33" w:rsidR="00402127" w:rsidRDefault="00402127" w:rsidP="00402127">
      <w:pPr>
        <w:pStyle w:val="Bibliographie"/>
      </w:pPr>
      <w:r w:rsidRPr="00025F4C">
        <w:rPr>
          <w:lang w:val="en-US"/>
        </w:rPr>
        <w:t xml:space="preserve">Loferer-Krößbacher, M., Klima, J., &amp; Psenner, R. (1998). </w:t>
      </w:r>
      <w:r>
        <w:t xml:space="preserve">Determination of Bacterial Cell Dry Mass by Transmission Electron Microscopy and Densitometric Image Analysis. </w:t>
      </w:r>
      <w:r>
        <w:rPr>
          <w:i/>
          <w:iCs/>
        </w:rPr>
        <w:t>Applied and Environmental Microbiology</w:t>
      </w:r>
      <w:r>
        <w:t xml:space="preserve">, </w:t>
      </w:r>
      <w:r>
        <w:rPr>
          <w:i/>
          <w:iCs/>
        </w:rPr>
        <w:t>64</w:t>
      </w:r>
      <w:r>
        <w:t>(2), 688–694.</w:t>
      </w:r>
      <w:r w:rsidR="008D4044">
        <w:t xml:space="preserve"> </w:t>
      </w:r>
      <w:hyperlink r:id="rId47" w:history="1">
        <w:r w:rsidR="008D4044" w:rsidRPr="008D4044">
          <w:rPr>
            <w:rStyle w:val="Lienhypertexte"/>
          </w:rPr>
          <w:t>https://doi.org/10.1128/AEM.64.2.688-694.1998</w:t>
        </w:r>
      </w:hyperlink>
    </w:p>
    <w:p w14:paraId="4BD1F33A" w14:textId="4DF8D030" w:rsidR="00402127" w:rsidRDefault="00402127" w:rsidP="00402127">
      <w:pPr>
        <w:pStyle w:val="Bibliographie"/>
      </w:pPr>
      <w:r>
        <w:t xml:space="preserve">Logan, B. E., Rossi, R., Ragab, A., &amp; Saikaly, P. E. (2019). Electroactive microorganisms in bioelectrochemical systems. </w:t>
      </w:r>
      <w:r>
        <w:rPr>
          <w:i/>
          <w:iCs/>
        </w:rPr>
        <w:t>Nature Reviews Microbiology</w:t>
      </w:r>
      <w:r>
        <w:t xml:space="preserve">, </w:t>
      </w:r>
      <w:r>
        <w:rPr>
          <w:i/>
          <w:iCs/>
        </w:rPr>
        <w:t>17</w:t>
      </w:r>
      <w:r>
        <w:t xml:space="preserve">(5), Article 5. </w:t>
      </w:r>
      <w:hyperlink r:id="rId48" w:history="1">
        <w:r w:rsidRPr="008D4044">
          <w:rPr>
            <w:rStyle w:val="Lienhypertexte"/>
          </w:rPr>
          <w:t>https://doi.org/10.1038/s41579-019-0173-x</w:t>
        </w:r>
      </w:hyperlink>
    </w:p>
    <w:p w14:paraId="506CC971" w14:textId="4A8E2C5C" w:rsidR="00402127" w:rsidRPr="00025F4C" w:rsidRDefault="00402127" w:rsidP="00402127">
      <w:pPr>
        <w:pStyle w:val="Bibliographie"/>
      </w:pPr>
      <w:r>
        <w:t xml:space="preserve">Martín, A. J., Shinagawa, T., &amp; Pérez-Ramírez, J. (2019). Electrocatalytic Reduction of Nitrogen: From Haber-Bosch to Ammonia Artificial Leaf. </w:t>
      </w:r>
      <w:r w:rsidRPr="00025F4C">
        <w:rPr>
          <w:i/>
          <w:iCs/>
        </w:rPr>
        <w:t>Chem</w:t>
      </w:r>
      <w:r w:rsidRPr="00025F4C">
        <w:t xml:space="preserve">, </w:t>
      </w:r>
      <w:r w:rsidRPr="00025F4C">
        <w:rPr>
          <w:i/>
          <w:iCs/>
        </w:rPr>
        <w:t>5</w:t>
      </w:r>
      <w:r w:rsidRPr="00025F4C">
        <w:t xml:space="preserve">(2), Article 2. </w:t>
      </w:r>
      <w:hyperlink r:id="rId49" w:history="1">
        <w:r w:rsidRPr="00025F4C">
          <w:rPr>
            <w:rStyle w:val="Lienhypertexte"/>
          </w:rPr>
          <w:t>https://doi.org/10.1016/j.chempr.2018.10.010</w:t>
        </w:r>
      </w:hyperlink>
    </w:p>
    <w:p w14:paraId="7878D7ED" w14:textId="693D1F63" w:rsidR="00402127" w:rsidRDefault="00402127" w:rsidP="00402127">
      <w:pPr>
        <w:pStyle w:val="Bibliographie"/>
      </w:pPr>
      <w:r w:rsidRPr="00025F4C">
        <w:t xml:space="preserve">Masclaux-Daubresse, C., Daniel-Vedele, F., Dechorgnat, J., Chardon, F., Gaufichon, L., &amp; Suzuki, A. (2010). </w:t>
      </w:r>
      <w:r>
        <w:t xml:space="preserve">Nitrogen uptake, assimilation and remobilization in plants: Challenges for sustainable and productive agriculture. </w:t>
      </w:r>
      <w:r>
        <w:rPr>
          <w:i/>
          <w:iCs/>
        </w:rPr>
        <w:t>Annals of Botany</w:t>
      </w:r>
      <w:r>
        <w:t xml:space="preserve">, </w:t>
      </w:r>
      <w:r>
        <w:rPr>
          <w:i/>
          <w:iCs/>
        </w:rPr>
        <w:t>105</w:t>
      </w:r>
      <w:r>
        <w:t>(7), 1141–1157.</w:t>
      </w:r>
      <w:hyperlink r:id="rId50" w:history="1">
        <w:r w:rsidRPr="008D4044">
          <w:rPr>
            <w:rStyle w:val="Lienhypertexte"/>
          </w:rPr>
          <w:t xml:space="preserve"> https://doi.org/10.1093/aob/mcq028</w:t>
        </w:r>
      </w:hyperlink>
    </w:p>
    <w:p w14:paraId="4F00A42B" w14:textId="19799C69" w:rsidR="00402127" w:rsidRDefault="00402127" w:rsidP="00402127">
      <w:pPr>
        <w:pStyle w:val="Bibliographie"/>
      </w:pPr>
      <w:r>
        <w:lastRenderedPageBreak/>
        <w:t xml:space="preserve">McMurdie, P. J. (2023). </w:t>
      </w:r>
      <w:r>
        <w:rPr>
          <w:i/>
          <w:iCs/>
        </w:rPr>
        <w:t>Phyloseq</w:t>
      </w:r>
      <w:r>
        <w:t xml:space="preserve"> [R]. </w:t>
      </w:r>
      <w:hyperlink r:id="rId51" w:history="1">
        <w:r w:rsidRPr="008D4044">
          <w:rPr>
            <w:rStyle w:val="Lienhypertexte"/>
          </w:rPr>
          <w:t>https://github.com/joey711/phyloseq</w:t>
        </w:r>
      </w:hyperlink>
      <w:r>
        <w:t xml:space="preserve"> (Original work published 2011)</w:t>
      </w:r>
    </w:p>
    <w:p w14:paraId="66A6F63C" w14:textId="1B36D945" w:rsidR="00402127" w:rsidRDefault="00402127" w:rsidP="00402127">
      <w:pPr>
        <w:pStyle w:val="Bibliographie"/>
      </w:pPr>
      <w:r>
        <w:t xml:space="preserve">Moscoviz, R., Desmond-Le Quéméner, E., Trably, E., &amp; Bernet, N. (2019). Bioelectrochemical Systems for the Valorization of Organic Residues. In J.-R. Bastidas-Oyanedel &amp; J. E. Schmidt (Eds.), </w:t>
      </w:r>
      <w:r>
        <w:rPr>
          <w:i/>
          <w:iCs/>
        </w:rPr>
        <w:t>Biorefinery: Integrated Sustainable Processes for Biomass Conversion to Biomaterials, Biofuels, and Fertilizers</w:t>
      </w:r>
      <w:r>
        <w:t xml:space="preserve"> (pp. 511–534). Springer International Publishing. </w:t>
      </w:r>
      <w:hyperlink r:id="rId52" w:history="1">
        <w:r w:rsidRPr="008D4044">
          <w:rPr>
            <w:rStyle w:val="Lienhypertexte"/>
          </w:rPr>
          <w:t>https://doi.org/10.1007/978-3-030-10961-5_21</w:t>
        </w:r>
      </w:hyperlink>
    </w:p>
    <w:p w14:paraId="2E415C3A" w14:textId="6BAAF857" w:rsidR="00402127" w:rsidRDefault="00402127" w:rsidP="00402127">
      <w:pPr>
        <w:pStyle w:val="Bibliographie"/>
      </w:pPr>
      <w:r>
        <w:t xml:space="preserve">Paul, D., Noori, M. T., Rajesh, P. P., Ghangrekar, M. M., &amp; Mitra, A. (2018). Modification of carbon felt anode with graphene oxide-zeolite composite for enhancing the performance of microbial fuel cell. </w:t>
      </w:r>
      <w:r>
        <w:rPr>
          <w:i/>
          <w:iCs/>
        </w:rPr>
        <w:t>Sustainable Energy Technologies and Assessments</w:t>
      </w:r>
      <w:r>
        <w:t xml:space="preserve">, </w:t>
      </w:r>
      <w:r>
        <w:rPr>
          <w:i/>
          <w:iCs/>
        </w:rPr>
        <w:t>26</w:t>
      </w:r>
      <w:r>
        <w:t xml:space="preserve">, 77–82. </w:t>
      </w:r>
      <w:hyperlink r:id="rId53" w:history="1">
        <w:r w:rsidRPr="008D4044">
          <w:rPr>
            <w:rStyle w:val="Lienhypertexte"/>
          </w:rPr>
          <w:t>https://doi.org/10.1016/j.seta.2017.10.001</w:t>
        </w:r>
      </w:hyperlink>
    </w:p>
    <w:p w14:paraId="1C7BDD49" w14:textId="4B7C9B5C" w:rsidR="00402127" w:rsidRDefault="00402127" w:rsidP="00402127">
      <w:pPr>
        <w:pStyle w:val="Bibliographie"/>
      </w:pPr>
      <w:r>
        <w:t xml:space="preserve">Peoples, M. B., &amp; Craswell, E. T. (1992). Biological nitrogen fixation: Investments, expectations and actual contributions to agriculture. </w:t>
      </w:r>
      <w:r>
        <w:rPr>
          <w:i/>
          <w:iCs/>
        </w:rPr>
        <w:t>Plant and Soil</w:t>
      </w:r>
      <w:r>
        <w:t xml:space="preserve">, </w:t>
      </w:r>
      <w:r>
        <w:rPr>
          <w:i/>
          <w:iCs/>
        </w:rPr>
        <w:t>141</w:t>
      </w:r>
      <w:r>
        <w:t xml:space="preserve">(1), 13–39. </w:t>
      </w:r>
      <w:hyperlink r:id="rId54" w:history="1">
        <w:r w:rsidRPr="008D4044">
          <w:rPr>
            <w:rStyle w:val="Lienhypertexte"/>
          </w:rPr>
          <w:t>https://doi.org/10.1007/BF00011308</w:t>
        </w:r>
      </w:hyperlink>
    </w:p>
    <w:p w14:paraId="56E5068B" w14:textId="53020922" w:rsidR="00402127" w:rsidRDefault="00402127" w:rsidP="00402127">
      <w:pPr>
        <w:pStyle w:val="Bibliographie"/>
      </w:pPr>
      <w:r>
        <w:t xml:space="preserve">Pogoreutz, C., Rädecker, N., Cárdenas, A., Gärdes, A., Wild, C., &amp; Voolstra, C. R. (2017). Nitrogen Fixation Aligns with nifH Abundance and Expression in Two Coral Trophic Functional Groups. </w:t>
      </w:r>
      <w:r>
        <w:rPr>
          <w:i/>
          <w:iCs/>
        </w:rPr>
        <w:t>Frontiers in Microbiology</w:t>
      </w:r>
      <w:r>
        <w:t xml:space="preserve">, </w:t>
      </w:r>
      <w:r>
        <w:rPr>
          <w:i/>
          <w:iCs/>
        </w:rPr>
        <w:t>8</w:t>
      </w:r>
      <w:r>
        <w:t xml:space="preserve">. </w:t>
      </w:r>
      <w:hyperlink r:id="rId55" w:history="1">
        <w:r w:rsidRPr="008D4044">
          <w:rPr>
            <w:rStyle w:val="Lienhypertexte"/>
          </w:rPr>
          <w:t>https://www.frontiersin.org/articles/10.3389/fmicb.2017.01187</w:t>
        </w:r>
      </w:hyperlink>
    </w:p>
    <w:p w14:paraId="2B38F836" w14:textId="7A1992D9" w:rsidR="00402127" w:rsidRDefault="00402127" w:rsidP="00402127">
      <w:pPr>
        <w:pStyle w:val="Bibliographie"/>
      </w:pPr>
      <w:r>
        <w:t xml:space="preserve">Poly, F., Ranjard, L., Nazaret, S., Gourbière, F., &amp; Monrozier, L. J. (2001). Comparison of nifH Gene Pools in Soils and Soil Microenvironments with Contrasting Properties. </w:t>
      </w:r>
      <w:r>
        <w:rPr>
          <w:i/>
          <w:iCs/>
        </w:rPr>
        <w:t>Applied and Environmental Microbiology</w:t>
      </w:r>
      <w:r>
        <w:t xml:space="preserve">, </w:t>
      </w:r>
      <w:r>
        <w:rPr>
          <w:i/>
          <w:iCs/>
        </w:rPr>
        <w:t>67</w:t>
      </w:r>
      <w:r>
        <w:t xml:space="preserve">(5), 2255–2262. </w:t>
      </w:r>
      <w:hyperlink r:id="rId56" w:history="1">
        <w:r w:rsidRPr="008D4044">
          <w:rPr>
            <w:rStyle w:val="Lienhypertexte"/>
          </w:rPr>
          <w:t>https://doi.org/10.1128/AEM.67.5.2255-2262.2001</w:t>
        </w:r>
      </w:hyperlink>
    </w:p>
    <w:p w14:paraId="4396F0CE" w14:textId="102576D4" w:rsidR="00402127" w:rsidRDefault="00402127" w:rsidP="00402127">
      <w:pPr>
        <w:pStyle w:val="Bibliographie"/>
      </w:pPr>
      <w:r>
        <w:t xml:space="preserve">Postgate, J. R. (1970). Nitrogen Fixation by Sporulating Sulphate-reducing Bacteria Including Rumen Strains. </w:t>
      </w:r>
      <w:r>
        <w:rPr>
          <w:i/>
          <w:iCs/>
        </w:rPr>
        <w:t>Microbiology</w:t>
      </w:r>
      <w:r>
        <w:t xml:space="preserve">, </w:t>
      </w:r>
      <w:r>
        <w:rPr>
          <w:i/>
          <w:iCs/>
        </w:rPr>
        <w:t>63</w:t>
      </w:r>
      <w:r>
        <w:t xml:space="preserve">(1), 137–139. </w:t>
      </w:r>
      <w:hyperlink r:id="rId57" w:history="1">
        <w:r w:rsidRPr="008D4044">
          <w:rPr>
            <w:rStyle w:val="Lienhypertexte"/>
          </w:rPr>
          <w:t>https://doi.org/10.1099/00221287-63-1-137</w:t>
        </w:r>
      </w:hyperlink>
    </w:p>
    <w:p w14:paraId="10A0E9BA" w14:textId="370FE6DF" w:rsidR="00402127" w:rsidRDefault="00402127" w:rsidP="00402127">
      <w:pPr>
        <w:pStyle w:val="Bibliographie"/>
      </w:pPr>
      <w:r>
        <w:t xml:space="preserve">Rago, L., Zecchin, S., Villa, F., Goglio, A., Corsini, A., Cavalca, L., &amp; Schievano, A. (2019). Bioelectrochemical Nitrogen fixation (e-BNF): Electro-stimulation of enriched biofilm communities drives autotrophic nitrogen and carbon fixation. </w:t>
      </w:r>
      <w:r>
        <w:rPr>
          <w:i/>
          <w:iCs/>
        </w:rPr>
        <w:t>Bioelectrochemistry</w:t>
      </w:r>
      <w:r>
        <w:t xml:space="preserve">, </w:t>
      </w:r>
      <w:r>
        <w:rPr>
          <w:i/>
          <w:iCs/>
        </w:rPr>
        <w:t>125</w:t>
      </w:r>
      <w:r>
        <w:t xml:space="preserve">, 105–115. </w:t>
      </w:r>
      <w:hyperlink r:id="rId58" w:history="1">
        <w:r w:rsidRPr="008D4044">
          <w:rPr>
            <w:rStyle w:val="Lienhypertexte"/>
          </w:rPr>
          <w:t>https://doi.org/10.1016/j.bioelechem.2018.10.002</w:t>
        </w:r>
      </w:hyperlink>
    </w:p>
    <w:p w14:paraId="083344B6" w14:textId="09F41263" w:rsidR="00402127" w:rsidRDefault="00402127" w:rsidP="00402127">
      <w:pPr>
        <w:pStyle w:val="Bibliographie"/>
      </w:pPr>
      <w:r>
        <w:t xml:space="preserve">Rojas-Tapias, D., Moreno-Galván, A., Pardo-Díaz, S., Obando, M., Rivera, D., &amp; Bonilla, R. (2012). Effect of inoculation with plant growth-promoting bacteria (PGPB) on amelioration of saline stress in maize (Zea mays). </w:t>
      </w:r>
      <w:r>
        <w:rPr>
          <w:i/>
          <w:iCs/>
        </w:rPr>
        <w:t>Applied Soil Ecology</w:t>
      </w:r>
      <w:r>
        <w:t xml:space="preserve">, </w:t>
      </w:r>
      <w:r>
        <w:rPr>
          <w:i/>
          <w:iCs/>
        </w:rPr>
        <w:t>61</w:t>
      </w:r>
      <w:r>
        <w:t xml:space="preserve">, 264–272. </w:t>
      </w:r>
      <w:hyperlink r:id="rId59" w:history="1">
        <w:r w:rsidRPr="008D4044">
          <w:rPr>
            <w:rStyle w:val="Lienhypertexte"/>
          </w:rPr>
          <w:t>https://doi.org/10.1016/j.apsoil.2012.01.006</w:t>
        </w:r>
      </w:hyperlink>
    </w:p>
    <w:p w14:paraId="31DFC02D" w14:textId="2B6315B1" w:rsidR="00402127" w:rsidRDefault="00402127" w:rsidP="00402127">
      <w:pPr>
        <w:pStyle w:val="Bibliographie"/>
      </w:pPr>
      <w:r>
        <w:t xml:space="preserve">Rozendal, R. A., Leone, E., Keller, J., &amp; Rabaey, K. (2009). Efficient hydrogen peroxide generation from organic matter in a bioelectrochemical system. </w:t>
      </w:r>
      <w:r>
        <w:rPr>
          <w:i/>
          <w:iCs/>
        </w:rPr>
        <w:t>Electrochemistry Communications</w:t>
      </w:r>
      <w:r>
        <w:t xml:space="preserve">, </w:t>
      </w:r>
      <w:r>
        <w:rPr>
          <w:i/>
          <w:iCs/>
        </w:rPr>
        <w:t>11</w:t>
      </w:r>
      <w:r>
        <w:t xml:space="preserve">(9), 1752–1755. </w:t>
      </w:r>
      <w:hyperlink r:id="rId60" w:history="1">
        <w:r w:rsidRPr="008D4044">
          <w:rPr>
            <w:rStyle w:val="Lienhypertexte"/>
          </w:rPr>
          <w:t>https://doi.org/10.1016/j.elecom.2009.07.008</w:t>
        </w:r>
      </w:hyperlink>
    </w:p>
    <w:p w14:paraId="6FDC51D1" w14:textId="1C8641A5" w:rsidR="00402127" w:rsidRDefault="00402127" w:rsidP="00402127">
      <w:pPr>
        <w:pStyle w:val="Bibliographie"/>
      </w:pPr>
      <w:r>
        <w:t xml:space="preserve">Ryan, R. P., Monchy, S., Cardinale, M., Taghavi, S., Crossman, L., Avison, M. B., Berg, G., van der Lelie, D., &amp; Dow, J. M. (2009). The versatility and adaptation of bacteria from the genus Stenotrophomonas. </w:t>
      </w:r>
      <w:r>
        <w:rPr>
          <w:i/>
          <w:iCs/>
        </w:rPr>
        <w:t>Nature Reviews Microbiology</w:t>
      </w:r>
      <w:r>
        <w:t xml:space="preserve">, </w:t>
      </w:r>
      <w:r>
        <w:rPr>
          <w:i/>
          <w:iCs/>
        </w:rPr>
        <w:t>7</w:t>
      </w:r>
      <w:r>
        <w:t xml:space="preserve">(7), Article 7. </w:t>
      </w:r>
      <w:hyperlink r:id="rId61" w:history="1">
        <w:r w:rsidRPr="008D4044">
          <w:rPr>
            <w:rStyle w:val="Lienhypertexte"/>
          </w:rPr>
          <w:t>https://doi.org/10.1038/nrmicro2163</w:t>
        </w:r>
      </w:hyperlink>
    </w:p>
    <w:p w14:paraId="723BA619" w14:textId="61BCBE57" w:rsidR="00402127" w:rsidRDefault="00402127" w:rsidP="00402127">
      <w:pPr>
        <w:pStyle w:val="Bibliographie"/>
      </w:pPr>
      <w:r>
        <w:t xml:space="preserve">Sim, J., An, J., Elbeshbishy, E., Ryu, H., &amp; Lee, H.-S. (2015). Characterization and optimization of cathodic conditions for H2O2 synthesis in microbial electrochemical cells. </w:t>
      </w:r>
      <w:r>
        <w:rPr>
          <w:i/>
          <w:iCs/>
        </w:rPr>
        <w:t>Bioresource Technology</w:t>
      </w:r>
      <w:r>
        <w:t xml:space="preserve">, </w:t>
      </w:r>
      <w:r>
        <w:rPr>
          <w:i/>
          <w:iCs/>
        </w:rPr>
        <w:t>195</w:t>
      </w:r>
      <w:r>
        <w:t xml:space="preserve">, 31–36. </w:t>
      </w:r>
      <w:hyperlink r:id="rId62" w:history="1">
        <w:r w:rsidRPr="008D4044">
          <w:rPr>
            <w:rStyle w:val="Lienhypertexte"/>
          </w:rPr>
          <w:t>https://doi.org/10.1016/j.biortech.2015.06.076</w:t>
        </w:r>
      </w:hyperlink>
    </w:p>
    <w:p w14:paraId="756011ED" w14:textId="406D91AA" w:rsidR="00402127" w:rsidRPr="00FF622B" w:rsidRDefault="00402127" w:rsidP="00FF622B">
      <w:pPr>
        <w:spacing w:beforeAutospacing="1" w:after="0" w:afterAutospacing="1" w:line="240" w:lineRule="auto"/>
        <w:rPr>
          <w:rFonts w:ascii="Open Sans" w:hAnsi="Open Sans" w:cs="Open Sans"/>
          <w:color w:val="333333"/>
          <w:sz w:val="20"/>
          <w:szCs w:val="20"/>
        </w:rPr>
      </w:pPr>
      <w:r>
        <w:t xml:space="preserve">Singh, R. K., Singh, P., Li, H.-B., Guo, D.-J., Song, Q.-Q., Yang, T., Malviya, M. K., Song, X.-P., &amp; Li, Y.-R. (2020). </w:t>
      </w:r>
      <w:r w:rsidRPr="00B43857">
        <w:rPr>
          <w:iCs/>
        </w:rPr>
        <w:t xml:space="preserve">Plant-PGPR interaction study of plant growth-promoting diazotrophs Kosakonia radicincitans BA1 and Stenotrophomonas maltophilia COA2 to enhance growth and stress-related gene </w:t>
      </w:r>
      <w:r w:rsidRPr="00B43857">
        <w:rPr>
          <w:iCs/>
        </w:rPr>
        <w:lastRenderedPageBreak/>
        <w:t>expression in Saccharum spp.</w:t>
      </w:r>
      <w:r>
        <w:rPr>
          <w:iCs/>
        </w:rPr>
        <w:t xml:space="preserve"> </w:t>
      </w:r>
      <w:r>
        <w:rPr>
          <w:i/>
          <w:iCs/>
        </w:rPr>
        <w:t>Journal of Plant Interactions</w:t>
      </w:r>
      <w:r>
        <w:rPr>
          <w:iCs/>
        </w:rPr>
        <w:t>, 15,</w:t>
      </w:r>
      <w:r>
        <w:t xml:space="preserve">427-445. </w:t>
      </w:r>
      <w:hyperlink r:id="rId63" w:history="1">
        <w:r>
          <w:rPr>
            <w:rStyle w:val="Lienhypertexte"/>
            <w:rFonts w:ascii="Open Sans" w:hAnsi="Open Sans" w:cs="Open Sans"/>
            <w:color w:val="006DB4"/>
            <w:sz w:val="20"/>
            <w:szCs w:val="20"/>
          </w:rPr>
          <w:t>https://doi.org/10.1080/17429145.2020.1857857</w:t>
        </w:r>
      </w:hyperlink>
    </w:p>
    <w:p w14:paraId="019CB341" w14:textId="2924AF9C" w:rsidR="00402127" w:rsidRDefault="00402127" w:rsidP="00402127">
      <w:pPr>
        <w:pStyle w:val="Bibliographie"/>
      </w:pPr>
      <w:r>
        <w:t xml:space="preserve">Soundararajan, M., Ledbetter, R., Kusuma, P., Zhen, S., Ludden, P., Bugbee, B., Ensign, S. A., &amp; Seefeldt, L. C. (2019). Phototrophic N2 and CO2 Fixation Using a Rhodopseudomonas palustris-H2 Mediated Electrochemical System With Infrared Photons. </w:t>
      </w:r>
      <w:r>
        <w:rPr>
          <w:i/>
          <w:iCs/>
        </w:rPr>
        <w:t>Frontiers in Microbiology</w:t>
      </w:r>
      <w:r>
        <w:t xml:space="preserve">, </w:t>
      </w:r>
      <w:r>
        <w:rPr>
          <w:i/>
          <w:iCs/>
        </w:rPr>
        <w:t>10</w:t>
      </w:r>
      <w:r>
        <w:t xml:space="preserve">, 1817. </w:t>
      </w:r>
      <w:hyperlink r:id="rId64" w:history="1">
        <w:r w:rsidRPr="008D4044">
          <w:rPr>
            <w:rStyle w:val="Lienhypertexte"/>
          </w:rPr>
          <w:t>https://doi.org/10.3389/fmicb.2019.01817</w:t>
        </w:r>
      </w:hyperlink>
    </w:p>
    <w:p w14:paraId="7395655B" w14:textId="7A513E6F" w:rsidR="00402127" w:rsidRDefault="00402127" w:rsidP="00402127">
      <w:pPr>
        <w:pStyle w:val="Bibliographie"/>
      </w:pPr>
      <w:r>
        <w:t xml:space="preserve">Stoddard, S. F., Smith, B. J., Hein, R., Roller, B. R. K., &amp; Schmidt, T. M. (2015). rrnDB: Improved tools for interpreting rRNA gene abundance in bacteria and archaea and a new foundation for future development. </w:t>
      </w:r>
      <w:r>
        <w:rPr>
          <w:i/>
          <w:iCs/>
        </w:rPr>
        <w:t>Nucleic Acids Research</w:t>
      </w:r>
      <w:r>
        <w:t xml:space="preserve">, </w:t>
      </w:r>
      <w:r>
        <w:rPr>
          <w:i/>
          <w:iCs/>
        </w:rPr>
        <w:t>43</w:t>
      </w:r>
      <w:r>
        <w:t>(D1), D593–D598.</w:t>
      </w:r>
      <w:hyperlink r:id="rId65" w:history="1">
        <w:r w:rsidRPr="008D4044">
          <w:rPr>
            <w:rStyle w:val="Lienhypertexte"/>
          </w:rPr>
          <w:t xml:space="preserve"> https://doi.org/10.1093/nar/gku1201</w:t>
        </w:r>
      </w:hyperlink>
    </w:p>
    <w:p w14:paraId="455E3C5C" w14:textId="2EF19B54" w:rsidR="00402127" w:rsidRDefault="00402127" w:rsidP="00402127">
      <w:pPr>
        <w:pStyle w:val="Bibliographie"/>
      </w:pPr>
      <w:r>
        <w:t xml:space="preserve">Temple, S. J., Vance, C. P., &amp; Stephen Gantt, J. (1998). Glutamate synthase and nitrogen assimilation. </w:t>
      </w:r>
      <w:r>
        <w:rPr>
          <w:i/>
          <w:iCs/>
        </w:rPr>
        <w:t>Trends in Plant Science</w:t>
      </w:r>
      <w:r>
        <w:t xml:space="preserve">, </w:t>
      </w:r>
      <w:r>
        <w:rPr>
          <w:i/>
          <w:iCs/>
        </w:rPr>
        <w:t>3</w:t>
      </w:r>
      <w:r>
        <w:t xml:space="preserve">(2), 51–56. </w:t>
      </w:r>
      <w:hyperlink r:id="rId66" w:history="1">
        <w:r w:rsidRPr="008D4044">
          <w:rPr>
            <w:rStyle w:val="Lienhypertexte"/>
          </w:rPr>
          <w:t>https://doi.org/10.1016/S1360-1385(97)01159-X</w:t>
        </w:r>
      </w:hyperlink>
    </w:p>
    <w:p w14:paraId="4B3E74CE" w14:textId="2A14F6C7" w:rsidR="00402127" w:rsidRDefault="00402127" w:rsidP="00402127">
      <w:pPr>
        <w:pStyle w:val="Bibliographie"/>
      </w:pPr>
      <w:r>
        <w:rPr>
          <w:i/>
          <w:iCs/>
        </w:rPr>
        <w:t>Tidyverse</w:t>
      </w:r>
      <w:r>
        <w:t>. (n.d.). Retrieved 9 February 2023, from</w:t>
      </w:r>
      <w:hyperlink r:id="rId67" w:history="1">
        <w:r w:rsidRPr="008D4044">
          <w:rPr>
            <w:rStyle w:val="Lienhypertexte"/>
          </w:rPr>
          <w:t xml:space="preserve"> https://www.tidyverse.org/</w:t>
        </w:r>
      </w:hyperlink>
    </w:p>
    <w:p w14:paraId="3613E571" w14:textId="134BDF72" w:rsidR="00402127" w:rsidRDefault="00402127" w:rsidP="00402127">
      <w:pPr>
        <w:pStyle w:val="Bibliographie"/>
      </w:pPr>
      <w:r>
        <w:t xml:space="preserve">Tilak, K. V. B. R., Schneider, K., &amp; Schlegel, H. G. (1986). Autotrophic growth of nitrogen-fixingAzospirillum species and partial characterization of hydrogenase from strain CC. </w:t>
      </w:r>
      <w:r>
        <w:rPr>
          <w:i/>
          <w:iCs/>
        </w:rPr>
        <w:t>Current Microbiology</w:t>
      </w:r>
      <w:r>
        <w:t xml:space="preserve">, </w:t>
      </w:r>
      <w:r>
        <w:rPr>
          <w:i/>
          <w:iCs/>
        </w:rPr>
        <w:t>13</w:t>
      </w:r>
      <w:r>
        <w:t xml:space="preserve">(6), 291–297. </w:t>
      </w:r>
      <w:hyperlink r:id="rId68" w:history="1">
        <w:r w:rsidRPr="008D4044">
          <w:rPr>
            <w:rStyle w:val="Lienhypertexte"/>
          </w:rPr>
          <w:t>https://doi.org/10.1007/BF01577194</w:t>
        </w:r>
      </w:hyperlink>
    </w:p>
    <w:p w14:paraId="3455FB64" w14:textId="289D5A6A" w:rsidR="00402127" w:rsidRDefault="00402127" w:rsidP="00402127">
      <w:pPr>
        <w:pStyle w:val="Bibliographie"/>
      </w:pPr>
      <w:r>
        <w:t xml:space="preserve">Wiegel, J. (2005). </w:t>
      </w:r>
      <w:r>
        <w:rPr>
          <w:i/>
          <w:iCs/>
        </w:rPr>
        <w:t>Xanthobacter Wiegel, Wilke, Baumgarten, Opitz and Schlegel 1978, 573 AL</w:t>
      </w:r>
      <w:r>
        <w:t xml:space="preserve">. </w:t>
      </w:r>
      <w:hyperlink r:id="rId69" w:history="1">
        <w:r w:rsidRPr="008D4044">
          <w:rPr>
            <w:rStyle w:val="Lienhypertexte"/>
          </w:rPr>
          <w:t>https://doi.org/10.1007/0-387-29298-5_135</w:t>
        </w:r>
      </w:hyperlink>
    </w:p>
    <w:p w14:paraId="6199EEE9" w14:textId="0721F1FE" w:rsidR="00402127" w:rsidRDefault="00402127" w:rsidP="00402127">
      <w:pPr>
        <w:pStyle w:val="Bibliographie"/>
      </w:pPr>
      <w:r>
        <w:t xml:space="preserve">Wresta, A., Widyarani, R., Boopathy, R., &amp; Setiadi, T. (2021). Thermodynamic approach to estimating reactions and stoichiometric coefficients of anaerobic glucose and hydrogen utilization. </w:t>
      </w:r>
      <w:r>
        <w:rPr>
          <w:i/>
          <w:iCs/>
        </w:rPr>
        <w:t>Engineering Reports</w:t>
      </w:r>
      <w:r>
        <w:t xml:space="preserve">, </w:t>
      </w:r>
      <w:r>
        <w:rPr>
          <w:i/>
          <w:iCs/>
        </w:rPr>
        <w:t>3</w:t>
      </w:r>
      <w:r>
        <w:t xml:space="preserve">(6), e12347. </w:t>
      </w:r>
      <w:hyperlink r:id="rId70" w:history="1">
        <w:r w:rsidRPr="008D4044">
          <w:rPr>
            <w:rStyle w:val="Lienhypertexte"/>
          </w:rPr>
          <w:t>https://doi.org/10.1002/eng2.12347</w:t>
        </w:r>
      </w:hyperlink>
    </w:p>
    <w:p w14:paraId="06D8CF86" w14:textId="547080CB" w:rsidR="00402127" w:rsidRPr="00402127" w:rsidRDefault="00402127">
      <w:pPr>
        <w:pStyle w:val="Bibliographie"/>
      </w:pPr>
      <w:r>
        <w:t xml:space="preserve">Wu, Y., Zaiden, N., &amp; Cao, B. (2018). The Core- and Pan-Genomic Analyses of the Genus Comamonas: From Environmental Adaptation to Potential Virulence. </w:t>
      </w:r>
      <w:r>
        <w:rPr>
          <w:i/>
          <w:iCs/>
        </w:rPr>
        <w:t>Frontiers in Microbiology</w:t>
      </w:r>
      <w:r>
        <w:t xml:space="preserve">, </w:t>
      </w:r>
      <w:r>
        <w:rPr>
          <w:i/>
          <w:iCs/>
        </w:rPr>
        <w:t>9</w:t>
      </w:r>
      <w:r>
        <w:t xml:space="preserve">, 3096. </w:t>
      </w:r>
      <w:hyperlink r:id="rId71" w:history="1">
        <w:r w:rsidRPr="00402127">
          <w:rPr>
            <w:rStyle w:val="Lienhypertexte"/>
          </w:rPr>
          <w:t>https://doi.org/10.3389/fmicb.2018.03096</w:t>
        </w:r>
      </w:hyperlink>
    </w:p>
    <w:p w14:paraId="6FF7811B" w14:textId="4DB7E482" w:rsidR="00402127" w:rsidRDefault="00402127" w:rsidP="00402127">
      <w:pPr>
        <w:pStyle w:val="Bibliographie"/>
      </w:pPr>
      <w:r w:rsidRPr="00025F4C">
        <w:rPr>
          <w:lang w:val="en-US"/>
        </w:rPr>
        <w:t xml:space="preserve">y. Hafeez, F., yasmin, S., Ariani, D., Renseigné, N., Zafar,  yusuf, &amp; A. Malik, K. (2006). </w:t>
      </w:r>
      <w:r>
        <w:t xml:space="preserve">Plant growth-promoting bacteria as biofertilizer. </w:t>
      </w:r>
      <w:r>
        <w:rPr>
          <w:i/>
          <w:iCs/>
        </w:rPr>
        <w:t>Agronomy for Sustainable Development</w:t>
      </w:r>
      <w:r>
        <w:t xml:space="preserve">, </w:t>
      </w:r>
      <w:r>
        <w:rPr>
          <w:i/>
          <w:iCs/>
        </w:rPr>
        <w:t>26</w:t>
      </w:r>
      <w:r>
        <w:t>(2), 143–150.</w:t>
      </w:r>
      <w:r w:rsidR="008D4044" w:rsidRPr="008D4044">
        <w:t xml:space="preserve"> </w:t>
      </w:r>
      <w:hyperlink r:id="rId72" w:history="1">
        <w:r w:rsidR="008D4044" w:rsidRPr="008D4044">
          <w:rPr>
            <w:rStyle w:val="Lienhypertexte"/>
          </w:rPr>
          <w:t>https://doi.org/10.1051/agro:2006007</w:t>
        </w:r>
      </w:hyperlink>
    </w:p>
    <w:p w14:paraId="0520E139" w14:textId="12628BC5" w:rsidR="00402127" w:rsidRDefault="00402127" w:rsidP="00402127">
      <w:pPr>
        <w:pStyle w:val="Bibliographie"/>
      </w:pPr>
      <w:r>
        <w:t xml:space="preserve">Yadav, R., Chiranjeevi, P., Yadav, S., Singh, R., &amp; Patil, S. A. (2022). Electricity-driven bioproduction from CO2 and N2 feedstocks using enriched mixed microbial culture. </w:t>
      </w:r>
      <w:r>
        <w:rPr>
          <w:i/>
          <w:iCs/>
        </w:rPr>
        <w:t>Journal of CO2 Utilization</w:t>
      </w:r>
      <w:r>
        <w:t xml:space="preserve">, </w:t>
      </w:r>
      <w:r>
        <w:rPr>
          <w:i/>
          <w:iCs/>
        </w:rPr>
        <w:t>60</w:t>
      </w:r>
      <w:r>
        <w:t xml:space="preserve">, 101997. </w:t>
      </w:r>
      <w:hyperlink r:id="rId73" w:history="1">
        <w:r w:rsidRPr="00402127">
          <w:rPr>
            <w:rStyle w:val="Lienhypertexte"/>
          </w:rPr>
          <w:t>https://doi.org/10.1016/j.jcou.2022.101997</w:t>
        </w:r>
      </w:hyperlink>
    </w:p>
    <w:p w14:paraId="596CF749" w14:textId="1FA0E75F" w:rsidR="00402127" w:rsidRDefault="00402127" w:rsidP="00402127">
      <w:pPr>
        <w:pStyle w:val="Bibliographie"/>
      </w:pPr>
      <w:r>
        <w:t xml:space="preserve">Zaybak, Z., Pisciotta, J. M., Tokash, J. C., &amp; Logan, B. E. (2013). Enhanced start-up of anaerobic facultatively autotrophic biocathodes in bioelectrochemical systems. </w:t>
      </w:r>
      <w:r>
        <w:rPr>
          <w:i/>
          <w:iCs/>
        </w:rPr>
        <w:t>Journal of Biotechnology</w:t>
      </w:r>
      <w:r>
        <w:t xml:space="preserve">, </w:t>
      </w:r>
      <w:r>
        <w:rPr>
          <w:i/>
          <w:iCs/>
        </w:rPr>
        <w:t>168</w:t>
      </w:r>
      <w:r>
        <w:t xml:space="preserve">(4), 478–485. </w:t>
      </w:r>
      <w:hyperlink r:id="rId74" w:history="1">
        <w:r w:rsidRPr="00402127">
          <w:rPr>
            <w:rStyle w:val="Lienhypertexte"/>
          </w:rPr>
          <w:t>https://doi.org/10.1016/j.jbiotec.2013.10.001</w:t>
        </w:r>
      </w:hyperlink>
    </w:p>
    <w:p w14:paraId="44579279" w14:textId="2D11CC6A" w:rsidR="00402127" w:rsidRDefault="00402127" w:rsidP="00402127">
      <w:pPr>
        <w:pStyle w:val="Bibliographie"/>
      </w:pPr>
      <w:r>
        <w:t xml:space="preserve">Zhang, L., Tian, C., Wang, H., Gu, W., Zheng, D., Cui, M., Wang, X., He, X., Zhan, G., &amp; Li, D. (2022). Improving electroautotrophic ammonium production from nitrogen gas by simultaneous carbon dioxide fixation in a dual-chamber microbial electrolysis cell. </w:t>
      </w:r>
      <w:r>
        <w:rPr>
          <w:i/>
          <w:iCs/>
        </w:rPr>
        <w:t>Bioelectrochemistry (Amsterdam, Netherlands)</w:t>
      </w:r>
      <w:r>
        <w:t xml:space="preserve">, </w:t>
      </w:r>
      <w:r>
        <w:rPr>
          <w:i/>
          <w:iCs/>
        </w:rPr>
        <w:t>144</w:t>
      </w:r>
      <w:r>
        <w:t>, 108044.</w:t>
      </w:r>
      <w:hyperlink r:id="rId75" w:history="1">
        <w:r w:rsidRPr="00402127">
          <w:rPr>
            <w:rStyle w:val="Lienhypertexte"/>
          </w:rPr>
          <w:t xml:space="preserve"> https://doi.org/10.1016/j.bioelechem.2021.108044</w:t>
        </w:r>
      </w:hyperlink>
    </w:p>
    <w:p w14:paraId="3CBFECC6" w14:textId="6E9AF576" w:rsidR="004F2E48" w:rsidRPr="004F2E48" w:rsidRDefault="003C0E43" w:rsidP="00456C92">
      <w:pPr>
        <w:pStyle w:val="PCJReference"/>
      </w:pPr>
      <w:r w:rsidRPr="003C0E43">
        <w:fldChar w:fldCharType="end"/>
      </w:r>
    </w:p>
    <w:sectPr w:rsidR="004F2E48" w:rsidRPr="004F2E48" w:rsidSect="00CE127D">
      <w:headerReference w:type="first" r:id="rId76"/>
      <w:footerReference w:type="first" r:id="rId77"/>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5D867" w14:textId="77777777" w:rsidR="008A3DF3" w:rsidRDefault="008A3DF3" w:rsidP="003741D9">
      <w:r>
        <w:separator/>
      </w:r>
    </w:p>
  </w:endnote>
  <w:endnote w:type="continuationSeparator" w:id="0">
    <w:p w14:paraId="14823853" w14:textId="77777777" w:rsidR="008A3DF3" w:rsidRDefault="008A3DF3"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DejaVu Sans Condense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366204"/>
      <w:docPartObj>
        <w:docPartGallery w:val="Page Numbers (Bottom of Page)"/>
        <w:docPartUnique/>
      </w:docPartObj>
    </w:sdtPr>
    <w:sdtEndPr/>
    <w:sdtContent>
      <w:p w14:paraId="1646E730" w14:textId="77777777" w:rsidR="00B833B3" w:rsidRDefault="00B833B3">
        <w:pPr>
          <w:pStyle w:val="Pieddepage"/>
          <w:jc w:val="center"/>
        </w:pPr>
        <w:r>
          <w:fldChar w:fldCharType="begin"/>
        </w:r>
        <w:r>
          <w:instrText>PAGE   \* MERGEFORMAT</w:instrText>
        </w:r>
        <w:r>
          <w:fldChar w:fldCharType="separate"/>
        </w:r>
        <w:r w:rsidRPr="00CE127D">
          <w:rPr>
            <w:noProof/>
          </w:rPr>
          <w:t>1</w:t>
        </w:r>
        <w:r>
          <w:fldChar w:fldCharType="end"/>
        </w:r>
      </w:p>
    </w:sdtContent>
  </w:sdt>
  <w:p w14:paraId="391FE44B" w14:textId="77777777" w:rsidR="00B833B3" w:rsidRDefault="00B833B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B6E4F" w14:textId="77777777" w:rsidR="008A3DF3" w:rsidRDefault="008A3DF3" w:rsidP="003741D9">
      <w:r>
        <w:separator/>
      </w:r>
    </w:p>
  </w:footnote>
  <w:footnote w:type="continuationSeparator" w:id="0">
    <w:p w14:paraId="6F7C04B1" w14:textId="77777777" w:rsidR="008A3DF3" w:rsidRDefault="008A3DF3" w:rsidP="003741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0778E" w14:textId="77777777" w:rsidR="00B833B3" w:rsidRDefault="00B833B3"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57230A"/>
    <w:multiLevelType w:val="multilevel"/>
    <w:tmpl w:val="BA10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
  </w:num>
  <w:num w:numId="3">
    <w:abstractNumId w:val="4"/>
  </w:num>
  <w:num w:numId="4">
    <w:abstractNumId w:val="7"/>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131078" w:nlCheck="1" w:checkStyle="0"/>
  <w:activeWritingStyle w:appName="MSWord" w:lang="fr-FR" w:vendorID="64" w:dllVersion="131078" w:nlCheck="1" w:checkStyle="0"/>
  <w:linkStyl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F7"/>
    <w:rsid w:val="00004AFA"/>
    <w:rsid w:val="0000701E"/>
    <w:rsid w:val="00023F62"/>
    <w:rsid w:val="00025259"/>
    <w:rsid w:val="00025F4C"/>
    <w:rsid w:val="000321C2"/>
    <w:rsid w:val="00046659"/>
    <w:rsid w:val="00054D37"/>
    <w:rsid w:val="000615A3"/>
    <w:rsid w:val="00083056"/>
    <w:rsid w:val="00084D86"/>
    <w:rsid w:val="000A00F4"/>
    <w:rsid w:val="000A54AB"/>
    <w:rsid w:val="000B0272"/>
    <w:rsid w:val="000B20E1"/>
    <w:rsid w:val="000B34E5"/>
    <w:rsid w:val="000C0674"/>
    <w:rsid w:val="000C4163"/>
    <w:rsid w:val="000C5FFF"/>
    <w:rsid w:val="000D5292"/>
    <w:rsid w:val="000E1ED9"/>
    <w:rsid w:val="000E2524"/>
    <w:rsid w:val="000E39AB"/>
    <w:rsid w:val="00105AE3"/>
    <w:rsid w:val="0011098D"/>
    <w:rsid w:val="00113A69"/>
    <w:rsid w:val="00125D61"/>
    <w:rsid w:val="00127A82"/>
    <w:rsid w:val="00131F11"/>
    <w:rsid w:val="0013310B"/>
    <w:rsid w:val="0014776F"/>
    <w:rsid w:val="001859DD"/>
    <w:rsid w:val="001875B8"/>
    <w:rsid w:val="001901AF"/>
    <w:rsid w:val="00195186"/>
    <w:rsid w:val="001A0C05"/>
    <w:rsid w:val="001A13F4"/>
    <w:rsid w:val="001A150B"/>
    <w:rsid w:val="001A3D04"/>
    <w:rsid w:val="001A4D35"/>
    <w:rsid w:val="001A6502"/>
    <w:rsid w:val="001A70AB"/>
    <w:rsid w:val="001B6031"/>
    <w:rsid w:val="001C411B"/>
    <w:rsid w:val="001C4427"/>
    <w:rsid w:val="001F2788"/>
    <w:rsid w:val="001F3775"/>
    <w:rsid w:val="001F6B90"/>
    <w:rsid w:val="00203FEC"/>
    <w:rsid w:val="00205BDD"/>
    <w:rsid w:val="00214468"/>
    <w:rsid w:val="00220EEE"/>
    <w:rsid w:val="002224D3"/>
    <w:rsid w:val="00234CCE"/>
    <w:rsid w:val="00235259"/>
    <w:rsid w:val="00242835"/>
    <w:rsid w:val="00243D2F"/>
    <w:rsid w:val="00245BB0"/>
    <w:rsid w:val="002663DF"/>
    <w:rsid w:val="0027416F"/>
    <w:rsid w:val="00275024"/>
    <w:rsid w:val="002754C3"/>
    <w:rsid w:val="00275F80"/>
    <w:rsid w:val="00280604"/>
    <w:rsid w:val="00296B2E"/>
    <w:rsid w:val="002B27E7"/>
    <w:rsid w:val="002B68D3"/>
    <w:rsid w:val="002B6D91"/>
    <w:rsid w:val="002C1049"/>
    <w:rsid w:val="002C63AA"/>
    <w:rsid w:val="002D0AE2"/>
    <w:rsid w:val="002D268D"/>
    <w:rsid w:val="002D28F7"/>
    <w:rsid w:val="002D523D"/>
    <w:rsid w:val="002D6C51"/>
    <w:rsid w:val="002D72F0"/>
    <w:rsid w:val="002E7D8D"/>
    <w:rsid w:val="002F738A"/>
    <w:rsid w:val="00300577"/>
    <w:rsid w:val="00305356"/>
    <w:rsid w:val="0030683E"/>
    <w:rsid w:val="00306FB8"/>
    <w:rsid w:val="00312A39"/>
    <w:rsid w:val="00316FC6"/>
    <w:rsid w:val="00317F77"/>
    <w:rsid w:val="003224A5"/>
    <w:rsid w:val="00323EFF"/>
    <w:rsid w:val="00330480"/>
    <w:rsid w:val="0033226A"/>
    <w:rsid w:val="00340D1B"/>
    <w:rsid w:val="00340F32"/>
    <w:rsid w:val="00343A9A"/>
    <w:rsid w:val="003470DE"/>
    <w:rsid w:val="003475E0"/>
    <w:rsid w:val="00361965"/>
    <w:rsid w:val="00364370"/>
    <w:rsid w:val="0036607B"/>
    <w:rsid w:val="00366B24"/>
    <w:rsid w:val="003741D9"/>
    <w:rsid w:val="003755FF"/>
    <w:rsid w:val="00382105"/>
    <w:rsid w:val="003821CF"/>
    <w:rsid w:val="00387119"/>
    <w:rsid w:val="00393D16"/>
    <w:rsid w:val="0039473B"/>
    <w:rsid w:val="00395A13"/>
    <w:rsid w:val="003A312F"/>
    <w:rsid w:val="003A557F"/>
    <w:rsid w:val="003C0E43"/>
    <w:rsid w:val="003C1028"/>
    <w:rsid w:val="003C4552"/>
    <w:rsid w:val="003C4C84"/>
    <w:rsid w:val="003D2BC9"/>
    <w:rsid w:val="003F19FE"/>
    <w:rsid w:val="003F1E6E"/>
    <w:rsid w:val="00400046"/>
    <w:rsid w:val="00402127"/>
    <w:rsid w:val="00404D1C"/>
    <w:rsid w:val="00410973"/>
    <w:rsid w:val="004113F2"/>
    <w:rsid w:val="00414B24"/>
    <w:rsid w:val="00422AF7"/>
    <w:rsid w:val="004254DB"/>
    <w:rsid w:val="00425F47"/>
    <w:rsid w:val="00433A7F"/>
    <w:rsid w:val="00435701"/>
    <w:rsid w:val="004432A9"/>
    <w:rsid w:val="00443A7C"/>
    <w:rsid w:val="00456C92"/>
    <w:rsid w:val="00466CE8"/>
    <w:rsid w:val="00470AA8"/>
    <w:rsid w:val="00472943"/>
    <w:rsid w:val="004731F7"/>
    <w:rsid w:val="0047628C"/>
    <w:rsid w:val="004777A6"/>
    <w:rsid w:val="004811CF"/>
    <w:rsid w:val="0048218F"/>
    <w:rsid w:val="00484108"/>
    <w:rsid w:val="00485E9F"/>
    <w:rsid w:val="00497626"/>
    <w:rsid w:val="004A1B90"/>
    <w:rsid w:val="004A1DC6"/>
    <w:rsid w:val="004A6386"/>
    <w:rsid w:val="004A6B9E"/>
    <w:rsid w:val="004A7762"/>
    <w:rsid w:val="004C0B1C"/>
    <w:rsid w:val="004C5E20"/>
    <w:rsid w:val="004D25F0"/>
    <w:rsid w:val="004D2CED"/>
    <w:rsid w:val="004D35BE"/>
    <w:rsid w:val="004E02FD"/>
    <w:rsid w:val="004E2785"/>
    <w:rsid w:val="004E2EA3"/>
    <w:rsid w:val="004E49BB"/>
    <w:rsid w:val="004E5379"/>
    <w:rsid w:val="004F2E48"/>
    <w:rsid w:val="004F5067"/>
    <w:rsid w:val="004F5373"/>
    <w:rsid w:val="004F6D15"/>
    <w:rsid w:val="004F7EBD"/>
    <w:rsid w:val="005106BF"/>
    <w:rsid w:val="00516E4A"/>
    <w:rsid w:val="00523B05"/>
    <w:rsid w:val="00532170"/>
    <w:rsid w:val="00533E9D"/>
    <w:rsid w:val="00534B08"/>
    <w:rsid w:val="00546F36"/>
    <w:rsid w:val="0055088E"/>
    <w:rsid w:val="00555307"/>
    <w:rsid w:val="005618A7"/>
    <w:rsid w:val="00567BF7"/>
    <w:rsid w:val="00570E06"/>
    <w:rsid w:val="00577F4F"/>
    <w:rsid w:val="0058430E"/>
    <w:rsid w:val="005B204B"/>
    <w:rsid w:val="005B377E"/>
    <w:rsid w:val="005B7806"/>
    <w:rsid w:val="005C34B4"/>
    <w:rsid w:val="005C4A30"/>
    <w:rsid w:val="005D4183"/>
    <w:rsid w:val="005D7916"/>
    <w:rsid w:val="005F1219"/>
    <w:rsid w:val="005F4FB3"/>
    <w:rsid w:val="005F7339"/>
    <w:rsid w:val="00600115"/>
    <w:rsid w:val="006008B2"/>
    <w:rsid w:val="006032B8"/>
    <w:rsid w:val="006076F1"/>
    <w:rsid w:val="00612442"/>
    <w:rsid w:val="00636C63"/>
    <w:rsid w:val="006374EA"/>
    <w:rsid w:val="006408EE"/>
    <w:rsid w:val="00643E01"/>
    <w:rsid w:val="006538F1"/>
    <w:rsid w:val="00656B69"/>
    <w:rsid w:val="00692F13"/>
    <w:rsid w:val="00697CBB"/>
    <w:rsid w:val="006A0775"/>
    <w:rsid w:val="006A0DEB"/>
    <w:rsid w:val="006A3244"/>
    <w:rsid w:val="006A4D45"/>
    <w:rsid w:val="006B042A"/>
    <w:rsid w:val="006B19F5"/>
    <w:rsid w:val="006C2EA3"/>
    <w:rsid w:val="006D2C98"/>
    <w:rsid w:val="006D3AD5"/>
    <w:rsid w:val="006E1F04"/>
    <w:rsid w:val="006E4EFD"/>
    <w:rsid w:val="006E5356"/>
    <w:rsid w:val="006E685B"/>
    <w:rsid w:val="006F2F49"/>
    <w:rsid w:val="0070259F"/>
    <w:rsid w:val="00705110"/>
    <w:rsid w:val="00707C2E"/>
    <w:rsid w:val="00711153"/>
    <w:rsid w:val="007145AD"/>
    <w:rsid w:val="007154EC"/>
    <w:rsid w:val="00716328"/>
    <w:rsid w:val="00720299"/>
    <w:rsid w:val="0072084A"/>
    <w:rsid w:val="00742902"/>
    <w:rsid w:val="0074399A"/>
    <w:rsid w:val="0074698A"/>
    <w:rsid w:val="007506BF"/>
    <w:rsid w:val="00754964"/>
    <w:rsid w:val="007549E1"/>
    <w:rsid w:val="00761827"/>
    <w:rsid w:val="00766EF3"/>
    <w:rsid w:val="00770FCC"/>
    <w:rsid w:val="007729DE"/>
    <w:rsid w:val="0077342A"/>
    <w:rsid w:val="007846A3"/>
    <w:rsid w:val="00790527"/>
    <w:rsid w:val="0079372D"/>
    <w:rsid w:val="007977D4"/>
    <w:rsid w:val="007B1215"/>
    <w:rsid w:val="007B6420"/>
    <w:rsid w:val="007B667D"/>
    <w:rsid w:val="007C0417"/>
    <w:rsid w:val="007C139B"/>
    <w:rsid w:val="007C15C3"/>
    <w:rsid w:val="007C1D8B"/>
    <w:rsid w:val="007C518C"/>
    <w:rsid w:val="007E26EA"/>
    <w:rsid w:val="007F5AAE"/>
    <w:rsid w:val="007F6545"/>
    <w:rsid w:val="00810D70"/>
    <w:rsid w:val="008151BC"/>
    <w:rsid w:val="00824010"/>
    <w:rsid w:val="008259C6"/>
    <w:rsid w:val="008263E4"/>
    <w:rsid w:val="00853140"/>
    <w:rsid w:val="0085318D"/>
    <w:rsid w:val="00863E9F"/>
    <w:rsid w:val="008701AA"/>
    <w:rsid w:val="00871A7B"/>
    <w:rsid w:val="00895C11"/>
    <w:rsid w:val="008A026D"/>
    <w:rsid w:val="008A0F0D"/>
    <w:rsid w:val="008A1790"/>
    <w:rsid w:val="008A3DF3"/>
    <w:rsid w:val="008A5B16"/>
    <w:rsid w:val="008B0043"/>
    <w:rsid w:val="008B3FF9"/>
    <w:rsid w:val="008C20E1"/>
    <w:rsid w:val="008D0363"/>
    <w:rsid w:val="008D33D7"/>
    <w:rsid w:val="008D4044"/>
    <w:rsid w:val="008D5A87"/>
    <w:rsid w:val="008D653F"/>
    <w:rsid w:val="008E52F5"/>
    <w:rsid w:val="008E5970"/>
    <w:rsid w:val="008E6C07"/>
    <w:rsid w:val="008F127C"/>
    <w:rsid w:val="008F2AD3"/>
    <w:rsid w:val="008F59C6"/>
    <w:rsid w:val="00920D6B"/>
    <w:rsid w:val="009330D7"/>
    <w:rsid w:val="00962837"/>
    <w:rsid w:val="00966FC8"/>
    <w:rsid w:val="0097421B"/>
    <w:rsid w:val="00976A3E"/>
    <w:rsid w:val="00976E79"/>
    <w:rsid w:val="00982BA4"/>
    <w:rsid w:val="00984FA6"/>
    <w:rsid w:val="0099333F"/>
    <w:rsid w:val="009A614F"/>
    <w:rsid w:val="009A7B4B"/>
    <w:rsid w:val="009B1B3F"/>
    <w:rsid w:val="009B2B34"/>
    <w:rsid w:val="009C1B3B"/>
    <w:rsid w:val="009C2404"/>
    <w:rsid w:val="009D5656"/>
    <w:rsid w:val="009E0A41"/>
    <w:rsid w:val="009F0379"/>
    <w:rsid w:val="009F23BD"/>
    <w:rsid w:val="00A01AC2"/>
    <w:rsid w:val="00A0505F"/>
    <w:rsid w:val="00A06FF1"/>
    <w:rsid w:val="00A20362"/>
    <w:rsid w:val="00A40779"/>
    <w:rsid w:val="00A42C1B"/>
    <w:rsid w:val="00A53A4D"/>
    <w:rsid w:val="00A573BE"/>
    <w:rsid w:val="00A651A1"/>
    <w:rsid w:val="00A72084"/>
    <w:rsid w:val="00A74712"/>
    <w:rsid w:val="00A81F52"/>
    <w:rsid w:val="00A84D85"/>
    <w:rsid w:val="00A938F8"/>
    <w:rsid w:val="00A96705"/>
    <w:rsid w:val="00A96E47"/>
    <w:rsid w:val="00AA11EA"/>
    <w:rsid w:val="00AA52E8"/>
    <w:rsid w:val="00AA6820"/>
    <w:rsid w:val="00AB0C0E"/>
    <w:rsid w:val="00AB2E30"/>
    <w:rsid w:val="00AB4075"/>
    <w:rsid w:val="00AB584D"/>
    <w:rsid w:val="00AC1E26"/>
    <w:rsid w:val="00AD00F8"/>
    <w:rsid w:val="00AE3025"/>
    <w:rsid w:val="00AF4290"/>
    <w:rsid w:val="00B02EA5"/>
    <w:rsid w:val="00B11E6A"/>
    <w:rsid w:val="00B12C70"/>
    <w:rsid w:val="00B15AF7"/>
    <w:rsid w:val="00B16BC6"/>
    <w:rsid w:val="00B34465"/>
    <w:rsid w:val="00B35BBD"/>
    <w:rsid w:val="00B6061B"/>
    <w:rsid w:val="00B705E8"/>
    <w:rsid w:val="00B7526F"/>
    <w:rsid w:val="00B82891"/>
    <w:rsid w:val="00B833B3"/>
    <w:rsid w:val="00B83F23"/>
    <w:rsid w:val="00B8674C"/>
    <w:rsid w:val="00BA20F9"/>
    <w:rsid w:val="00BB6A31"/>
    <w:rsid w:val="00BC589C"/>
    <w:rsid w:val="00BC685D"/>
    <w:rsid w:val="00BD41FB"/>
    <w:rsid w:val="00BD59D4"/>
    <w:rsid w:val="00BD7C4A"/>
    <w:rsid w:val="00BE6395"/>
    <w:rsid w:val="00BE6B8E"/>
    <w:rsid w:val="00BF0EB4"/>
    <w:rsid w:val="00C04BED"/>
    <w:rsid w:val="00C10BAA"/>
    <w:rsid w:val="00C13637"/>
    <w:rsid w:val="00C152B5"/>
    <w:rsid w:val="00C16CC1"/>
    <w:rsid w:val="00C24A6B"/>
    <w:rsid w:val="00C25519"/>
    <w:rsid w:val="00C25870"/>
    <w:rsid w:val="00C30A39"/>
    <w:rsid w:val="00C3181D"/>
    <w:rsid w:val="00C31EAD"/>
    <w:rsid w:val="00C35CA7"/>
    <w:rsid w:val="00C43881"/>
    <w:rsid w:val="00C43DB7"/>
    <w:rsid w:val="00C46519"/>
    <w:rsid w:val="00C5008D"/>
    <w:rsid w:val="00C55170"/>
    <w:rsid w:val="00C613B1"/>
    <w:rsid w:val="00C62D20"/>
    <w:rsid w:val="00C65C53"/>
    <w:rsid w:val="00C7255C"/>
    <w:rsid w:val="00C749F2"/>
    <w:rsid w:val="00C767BF"/>
    <w:rsid w:val="00C832F7"/>
    <w:rsid w:val="00C85581"/>
    <w:rsid w:val="00CA477C"/>
    <w:rsid w:val="00CB1312"/>
    <w:rsid w:val="00CB13C2"/>
    <w:rsid w:val="00CC03F2"/>
    <w:rsid w:val="00CE05E1"/>
    <w:rsid w:val="00CE127D"/>
    <w:rsid w:val="00CE14D8"/>
    <w:rsid w:val="00CE5981"/>
    <w:rsid w:val="00CF1002"/>
    <w:rsid w:val="00CF3D0E"/>
    <w:rsid w:val="00CF5BB9"/>
    <w:rsid w:val="00CF692C"/>
    <w:rsid w:val="00D0313B"/>
    <w:rsid w:val="00D12681"/>
    <w:rsid w:val="00D16706"/>
    <w:rsid w:val="00D2191D"/>
    <w:rsid w:val="00D22F3F"/>
    <w:rsid w:val="00D26824"/>
    <w:rsid w:val="00D32943"/>
    <w:rsid w:val="00D32CB5"/>
    <w:rsid w:val="00D36711"/>
    <w:rsid w:val="00D6401B"/>
    <w:rsid w:val="00D7219F"/>
    <w:rsid w:val="00D77D58"/>
    <w:rsid w:val="00D802AF"/>
    <w:rsid w:val="00D82414"/>
    <w:rsid w:val="00D92A9F"/>
    <w:rsid w:val="00D92EF2"/>
    <w:rsid w:val="00DC2B7B"/>
    <w:rsid w:val="00DE4B99"/>
    <w:rsid w:val="00DE63DE"/>
    <w:rsid w:val="00DF10EF"/>
    <w:rsid w:val="00DF1FA3"/>
    <w:rsid w:val="00DF4DC4"/>
    <w:rsid w:val="00DF4F3E"/>
    <w:rsid w:val="00DF6348"/>
    <w:rsid w:val="00E020EB"/>
    <w:rsid w:val="00E16042"/>
    <w:rsid w:val="00E2536B"/>
    <w:rsid w:val="00E4132C"/>
    <w:rsid w:val="00E475E9"/>
    <w:rsid w:val="00E61542"/>
    <w:rsid w:val="00E61EED"/>
    <w:rsid w:val="00E70832"/>
    <w:rsid w:val="00E70FFD"/>
    <w:rsid w:val="00E739F9"/>
    <w:rsid w:val="00E815CF"/>
    <w:rsid w:val="00E83D83"/>
    <w:rsid w:val="00E8550A"/>
    <w:rsid w:val="00E865E4"/>
    <w:rsid w:val="00E9143C"/>
    <w:rsid w:val="00EA00CD"/>
    <w:rsid w:val="00EA17A9"/>
    <w:rsid w:val="00EB179A"/>
    <w:rsid w:val="00EB29D7"/>
    <w:rsid w:val="00EB2C26"/>
    <w:rsid w:val="00EB2C28"/>
    <w:rsid w:val="00EB659D"/>
    <w:rsid w:val="00EC6D4D"/>
    <w:rsid w:val="00ED58CF"/>
    <w:rsid w:val="00ED5CB8"/>
    <w:rsid w:val="00EE529B"/>
    <w:rsid w:val="00EE5B50"/>
    <w:rsid w:val="00EF0B61"/>
    <w:rsid w:val="00F00DD4"/>
    <w:rsid w:val="00F02A11"/>
    <w:rsid w:val="00F10664"/>
    <w:rsid w:val="00F14188"/>
    <w:rsid w:val="00F21FCB"/>
    <w:rsid w:val="00F22B93"/>
    <w:rsid w:val="00F320DB"/>
    <w:rsid w:val="00F44BFC"/>
    <w:rsid w:val="00F70B1E"/>
    <w:rsid w:val="00F714C5"/>
    <w:rsid w:val="00F75EB7"/>
    <w:rsid w:val="00F77776"/>
    <w:rsid w:val="00F870B6"/>
    <w:rsid w:val="00F947E1"/>
    <w:rsid w:val="00F951B3"/>
    <w:rsid w:val="00FB23D5"/>
    <w:rsid w:val="00FB26E4"/>
    <w:rsid w:val="00FB4DC4"/>
    <w:rsid w:val="00FC330A"/>
    <w:rsid w:val="00FD0926"/>
    <w:rsid w:val="00FD4AC0"/>
    <w:rsid w:val="00FD535F"/>
    <w:rsid w:val="00FD6960"/>
    <w:rsid w:val="00FF050D"/>
    <w:rsid w:val="00FF3464"/>
    <w:rsid w:val="00FF3A7E"/>
    <w:rsid w:val="00FF46A9"/>
    <w:rsid w:val="00FF62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BC241"/>
  <w15:chartTrackingRefBased/>
  <w15:docId w15:val="{57613046-B014-4CF3-A117-4CF55A7F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emplate PCJ"/>
    <w:qFormat/>
    <w:rsid w:val="003F19FE"/>
    <w:pPr>
      <w:spacing w:after="160" w:line="259" w:lineRule="auto"/>
    </w:pPr>
    <w:rPr>
      <w:sz w:val="22"/>
      <w:szCs w:val="22"/>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rsid w:val="003F19FE"/>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3F19FE"/>
  </w:style>
  <w:style w:type="paragraph" w:styleId="En-tte">
    <w:name w:val="header"/>
    <w:basedOn w:val="Normal"/>
    <w:link w:val="En-tteCar"/>
    <w:uiPriority w:val="99"/>
    <w:unhideWhenUsed/>
    <w:rsid w:val="004F6D15"/>
    <w:pPr>
      <w:tabs>
        <w:tab w:val="center" w:pos="4536"/>
        <w:tab w:val="right" w:pos="9072"/>
      </w:tabs>
    </w:pPr>
  </w:style>
  <w:style w:type="character" w:customStyle="1" w:styleId="En-tteCar">
    <w:name w:val="En-tête Car"/>
    <w:basedOn w:val="Policepardfaut"/>
    <w:link w:val="En-tte"/>
    <w:uiPriority w:val="99"/>
    <w:rsid w:val="004F6D15"/>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3741D9"/>
    <w:pPr>
      <w:tabs>
        <w:tab w:val="center" w:pos="4536"/>
        <w:tab w:val="right" w:pos="9072"/>
      </w:tabs>
    </w:pPr>
  </w:style>
  <w:style w:type="character" w:customStyle="1" w:styleId="PieddepageCar">
    <w:name w:val="Pied de page Car"/>
    <w:basedOn w:val="Policepardfaut"/>
    <w:link w:val="Pieddepage"/>
    <w:uiPriority w:val="99"/>
    <w:rsid w:val="003741D9"/>
    <w:rPr>
      <w:lang w:val="en-US"/>
    </w:r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741D9"/>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3741D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3741D9"/>
    <w:rPr>
      <w:rFonts w:eastAsiaTheme="minorEastAsia"/>
      <w:color w:val="5A5A5A" w:themeColor="text1" w:themeTint="A5"/>
      <w:spacing w:val="15"/>
      <w:sz w:val="22"/>
      <w:szCs w:val="22"/>
      <w:lang w:val="en-US"/>
    </w:rPr>
  </w:style>
  <w:style w:type="character" w:styleId="Emphasepl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1A70AB"/>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F6D15"/>
    <w:rPr>
      <w:color w:val="0000FF"/>
      <w:u w:val="single"/>
    </w:rPr>
  </w:style>
  <w:style w:type="character" w:customStyle="1" w:styleId="Mentionnonrsolue1">
    <w:name w:val="Mention non résolue1"/>
    <w:basedOn w:val="Policepardfaut"/>
    <w:uiPriority w:val="99"/>
    <w:semiHidden/>
    <w:unhideWhenUsed/>
    <w:rsid w:val="00A74712"/>
    <w:rPr>
      <w:color w:val="605E5C"/>
      <w:shd w:val="clear" w:color="auto" w:fill="E1DFDD"/>
    </w:rPr>
  </w:style>
  <w:style w:type="character" w:styleId="Lienhypertextesuivi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6E1F04"/>
  </w:style>
  <w:style w:type="character" w:styleId="Marquedecommentaire">
    <w:name w:val="annotation reference"/>
    <w:basedOn w:val="Policepardfaut"/>
    <w:uiPriority w:val="99"/>
    <w:semiHidden/>
    <w:unhideWhenUsed/>
    <w:rsid w:val="00705110"/>
    <w:rPr>
      <w:sz w:val="16"/>
      <w:szCs w:val="16"/>
    </w:rPr>
  </w:style>
  <w:style w:type="paragraph" w:styleId="Commentaire">
    <w:name w:val="annotation text"/>
    <w:basedOn w:val="Normal"/>
    <w:link w:val="CommentaireCar"/>
    <w:uiPriority w:val="99"/>
    <w:semiHidden/>
    <w:unhideWhenUsed/>
    <w:rsid w:val="00705110"/>
    <w:rPr>
      <w:sz w:val="20"/>
      <w:szCs w:val="20"/>
    </w:rPr>
  </w:style>
  <w:style w:type="character" w:customStyle="1" w:styleId="CommentaireCar">
    <w:name w:val="Commentaire Car"/>
    <w:basedOn w:val="Policepardfaut"/>
    <w:link w:val="Commentaire"/>
    <w:uiPriority w:val="99"/>
    <w:semiHidden/>
    <w:rsid w:val="00705110"/>
    <w:rPr>
      <w:sz w:val="20"/>
      <w:szCs w:val="20"/>
      <w:lang w:val="en-US"/>
    </w:rPr>
  </w:style>
  <w:style w:type="paragraph" w:styleId="Objetducommentaire">
    <w:name w:val="annotation subject"/>
    <w:basedOn w:val="Commentaire"/>
    <w:next w:val="Commentaire"/>
    <w:link w:val="ObjetducommentaireCar"/>
    <w:uiPriority w:val="99"/>
    <w:semiHidden/>
    <w:unhideWhenUsed/>
    <w:rsid w:val="00705110"/>
    <w:rPr>
      <w:b/>
      <w:bCs/>
    </w:rPr>
  </w:style>
  <w:style w:type="character" w:customStyle="1" w:styleId="ObjetducommentaireCar">
    <w:name w:val="Objet du commentaire Car"/>
    <w:basedOn w:val="CommentaireCar"/>
    <w:link w:val="Objetducommentaire"/>
    <w:uiPriority w:val="99"/>
    <w:semiHidden/>
    <w:rsid w:val="00705110"/>
    <w:rPr>
      <w:b/>
      <w:bCs/>
      <w:sz w:val="20"/>
      <w:szCs w:val="20"/>
      <w:lang w:val="en-US"/>
    </w:rPr>
  </w:style>
  <w:style w:type="paragraph" w:styleId="Textedebulles">
    <w:name w:val="Balloon Text"/>
    <w:basedOn w:val="Normal"/>
    <w:link w:val="TextedebullesCar"/>
    <w:uiPriority w:val="99"/>
    <w:semiHidden/>
    <w:unhideWhenUsed/>
    <w:rsid w:val="00705110"/>
    <w:rPr>
      <w:sz w:val="18"/>
      <w:szCs w:val="18"/>
    </w:rPr>
  </w:style>
  <w:style w:type="character" w:customStyle="1" w:styleId="TextedebullesCar">
    <w:name w:val="Texte de bulles Car"/>
    <w:basedOn w:val="Policepardfaut"/>
    <w:link w:val="Textedebulles"/>
    <w:uiPriority w:val="99"/>
    <w:semiHidden/>
    <w:rsid w:val="00705110"/>
    <w:rPr>
      <w:rFonts w:ascii="Times New Roman" w:hAnsi="Times New Roman" w:cs="Times New Roman"/>
      <w:sz w:val="18"/>
      <w:szCs w:val="18"/>
      <w:lang w:val="en-US"/>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0C0674"/>
    <w:pPr>
      <w:keepNext/>
      <w:spacing w:before="280" w:after="280"/>
      <w:jc w:val="center"/>
    </w:pPr>
    <w:rPr>
      <w:b/>
      <w:color w:val="000000" w:themeColor="text1"/>
      <w:lang w:val="en-US"/>
    </w:rPr>
  </w:style>
  <w:style w:type="paragraph" w:customStyle="1" w:styleId="PCJtext">
    <w:name w:val="PCJ text"/>
    <w:qFormat/>
    <w:rsid w:val="000C0674"/>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0C0674"/>
    <w:pPr>
      <w:spacing w:after="240"/>
      <w:jc w:val="center"/>
    </w:pPr>
    <w:rPr>
      <w:sz w:val="18"/>
    </w:rPr>
  </w:style>
  <w:style w:type="paragraph" w:customStyle="1" w:styleId="PCJFigure">
    <w:name w:val="PCJ Figure"/>
    <w:next w:val="PCJtext"/>
    <w:qFormat/>
    <w:rsid w:val="000C0674"/>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0C0674"/>
    <w:pPr>
      <w:spacing w:before="240" w:after="240"/>
      <w:jc w:val="center"/>
    </w:pPr>
    <w:rPr>
      <w:color w:val="000000" w:themeColor="text1"/>
      <w:sz w:val="18"/>
    </w:rPr>
  </w:style>
  <w:style w:type="paragraph" w:customStyle="1" w:styleId="PCJTable">
    <w:name w:val="PCJ Table"/>
    <w:next w:val="PCJtext"/>
    <w:qFormat/>
    <w:rsid w:val="000C0674"/>
    <w:pPr>
      <w:widowControl w:val="0"/>
    </w:pPr>
    <w:rPr>
      <w:rFonts w:cstheme="minorHAnsi"/>
      <w:noProof/>
      <w:color w:val="000000" w:themeColor="text1"/>
      <w:sz w:val="16"/>
      <w:lang w:val="en-US"/>
    </w:rPr>
  </w:style>
  <w:style w:type="paragraph" w:customStyle="1" w:styleId="PCJEquation">
    <w:name w:val="PCJ Equation"/>
    <w:basedOn w:val="PCJtext"/>
    <w:qFormat/>
    <w:rsid w:val="000C0674"/>
    <w:pPr>
      <w:numPr>
        <w:numId w:val="5"/>
      </w:numPr>
      <w:tabs>
        <w:tab w:val="center" w:pos="4678"/>
      </w:tabs>
      <w:spacing w:before="240" w:after="240"/>
    </w:pPr>
  </w:style>
  <w:style w:type="paragraph" w:customStyle="1" w:styleId="PCJReference">
    <w:name w:val="PCJ Reference"/>
    <w:basedOn w:val="PCJtext"/>
    <w:qFormat/>
    <w:rsid w:val="000C0674"/>
    <w:pPr>
      <w:spacing w:after="220"/>
      <w:ind w:left="289" w:hanging="289"/>
    </w:pPr>
  </w:style>
  <w:style w:type="paragraph" w:customStyle="1" w:styleId="PCJSubsection">
    <w:name w:val="PCJ Subsection"/>
    <w:basedOn w:val="PCJtext"/>
    <w:next w:val="PCJtext"/>
    <w:qFormat/>
    <w:rsid w:val="000C0674"/>
    <w:pPr>
      <w:keepNext/>
      <w:spacing w:after="0"/>
      <w:ind w:firstLine="0"/>
    </w:pPr>
    <w:rPr>
      <w:b/>
    </w:rPr>
  </w:style>
  <w:style w:type="paragraph" w:customStyle="1" w:styleId="PCJnotetable">
    <w:name w:val="PCJ note table"/>
    <w:link w:val="PCJnotetableCar"/>
    <w:qFormat/>
    <w:rsid w:val="000C0674"/>
    <w:pPr>
      <w:spacing w:after="240"/>
      <w:contextualSpacing/>
      <w:jc w:val="center"/>
    </w:pPr>
    <w:rPr>
      <w:rFonts w:eastAsia="Times New Roman" w:cstheme="minorHAnsi"/>
      <w:noProof/>
      <w:sz w:val="18"/>
      <w:lang w:val="en-US"/>
    </w:rPr>
  </w:style>
  <w:style w:type="character" w:customStyle="1" w:styleId="PCJnotetableCar">
    <w:name w:val="PCJ note table Car"/>
    <w:basedOn w:val="Policepardfaut"/>
    <w:link w:val="PCJnotetable"/>
    <w:rsid w:val="000C0674"/>
    <w:rPr>
      <w:rFonts w:eastAsia="Times New Roman" w:cstheme="minorHAnsi"/>
      <w:noProof/>
      <w:sz w:val="18"/>
      <w:lang w:val="en-US"/>
    </w:r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0C0674"/>
    <w:pPr>
      <w:keepNext/>
      <w:spacing w:before="120" w:after="0"/>
      <w:ind w:firstLine="0"/>
    </w:pPr>
    <w:rPr>
      <w:i/>
    </w:rPr>
  </w:style>
  <w:style w:type="character" w:styleId="Textedelespacerserv">
    <w:name w:val="Placeholder Text"/>
    <w:basedOn w:val="Policepardfaut"/>
    <w:uiPriority w:val="99"/>
    <w:semiHidden/>
    <w:rsid w:val="004F6D15"/>
    <w:rPr>
      <w:color w:val="808080"/>
    </w:rPr>
  </w:style>
  <w:style w:type="paragraph" w:styleId="En-ttedetabledesmatires">
    <w:name w:val="TOC Heading"/>
    <w:basedOn w:val="Titre1"/>
    <w:next w:val="Normal"/>
    <w:uiPriority w:val="39"/>
    <w:unhideWhenUsed/>
    <w:qFormat/>
    <w:rsid w:val="00A96E47"/>
    <w:pPr>
      <w:outlineLvl w:val="9"/>
    </w:pPr>
    <w:rPr>
      <w:lang w:eastAsia="fr-FR"/>
    </w:rPr>
  </w:style>
  <w:style w:type="paragraph" w:styleId="NormalWeb">
    <w:name w:val="Normal (Web)"/>
    <w:basedOn w:val="Normal"/>
    <w:uiPriority w:val="99"/>
    <w:unhideWhenUsed/>
    <w:rsid w:val="00CE5981"/>
    <w:pPr>
      <w:spacing w:before="100" w:beforeAutospacing="1" w:after="100" w:afterAutospacing="1"/>
    </w:pPr>
    <w:rPr>
      <w:rFonts w:eastAsia="Times New Roman" w:cs="Times New Roman"/>
      <w:sz w:val="24"/>
      <w:lang w:eastAsia="fr-FR"/>
    </w:rPr>
  </w:style>
  <w:style w:type="paragraph" w:styleId="Bibliographie">
    <w:name w:val="Bibliography"/>
    <w:basedOn w:val="Normal"/>
    <w:next w:val="Normal"/>
    <w:uiPriority w:val="37"/>
    <w:unhideWhenUsed/>
    <w:rsid w:val="00F22B93"/>
  </w:style>
  <w:style w:type="paragraph" w:styleId="Lgende">
    <w:name w:val="caption"/>
    <w:basedOn w:val="Normal"/>
    <w:next w:val="Normal"/>
    <w:uiPriority w:val="35"/>
    <w:unhideWhenUsed/>
    <w:qFormat/>
    <w:rsid w:val="000830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6059">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5283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28/AEM.01998-20" TargetMode="External"/><Relationship Id="rId21" Type="http://schemas.openxmlformats.org/officeDocument/2006/relationships/hyperlink" Target="https://doi.org/10.1007/s00253-008-1486-2" TargetMode="External"/><Relationship Id="rId42" Type="http://schemas.openxmlformats.org/officeDocument/2006/relationships/hyperlink" Target="https://doi.org/10.1007/BF00411048" TargetMode="External"/><Relationship Id="rId47" Type="http://schemas.openxmlformats.org/officeDocument/2006/relationships/hyperlink" Target="https://doi.org/10.1128/AEM.64.2.688-694.1998" TargetMode="External"/><Relationship Id="rId63" Type="http://schemas.openxmlformats.org/officeDocument/2006/relationships/hyperlink" Target="https://doi.org/10.1080/17429145.2020.1857857" TargetMode="External"/><Relationship Id="rId68" Type="http://schemas.openxmlformats.org/officeDocument/2006/relationships/hyperlink" Target="https://doi.org/10.1007/BF01577194" TargetMode="External"/><Relationship Id="rId16" Type="http://schemas.openxmlformats.org/officeDocument/2006/relationships/hyperlink" Target="https://doi.org/10.15454/1.557234103446854E12" TargetMode="External"/><Relationship Id="rId11" Type="http://schemas.openxmlformats.org/officeDocument/2006/relationships/image" Target="media/image4.tiff"/><Relationship Id="rId24" Type="http://schemas.openxmlformats.org/officeDocument/2006/relationships/hyperlink" Target="https://doi.org/10.1016/j.watres.2015.05.041" TargetMode="External"/><Relationship Id="rId32" Type="http://schemas.openxmlformats.org/officeDocument/2006/relationships/hyperlink" Target="https://doi.org/10.1007/s10482-018-1147-0" TargetMode="External"/><Relationship Id="rId37" Type="http://schemas.openxmlformats.org/officeDocument/2006/relationships/hyperlink" Target="https://doi.org/10.3390/su141710697" TargetMode="External"/><Relationship Id="rId40" Type="http://schemas.openxmlformats.org/officeDocument/2006/relationships/hyperlink" Target="https://doi.org/10.3389/fpls.2015.01225" TargetMode="External"/><Relationship Id="rId45" Type="http://schemas.openxmlformats.org/officeDocument/2006/relationships/hyperlink" Target="https://doi.org/10.1073/pnas.1706371114" TargetMode="External"/><Relationship Id="rId53" Type="http://schemas.openxmlformats.org/officeDocument/2006/relationships/hyperlink" Target="https://doi.org/10.1016/j.seta.2017.10.001" TargetMode="External"/><Relationship Id="rId58" Type="http://schemas.openxmlformats.org/officeDocument/2006/relationships/hyperlink" Target="https://doi.org/10.1016/j.bioelechem.2018.10.002" TargetMode="External"/><Relationship Id="rId66" Type="http://schemas.openxmlformats.org/officeDocument/2006/relationships/hyperlink" Target="https://doi.org/10.1016/S1360-1385(97)01159-X" TargetMode="External"/><Relationship Id="rId74" Type="http://schemas.openxmlformats.org/officeDocument/2006/relationships/hyperlink" Target="https://doi.org/10.1016/j.jbiotec.2013.10.0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38/nrmicro2163" TargetMode="External"/><Relationship Id="rId19" Type="http://schemas.openxmlformats.org/officeDocument/2006/relationships/hyperlink" Target="https://doi.org/10.5829/idosi.ijmr.2012.3.1.61103" TargetMode="External"/><Relationship Id="rId14" Type="http://schemas.openxmlformats.org/officeDocument/2006/relationships/image" Target="media/image7.tiff"/><Relationship Id="rId22" Type="http://schemas.openxmlformats.org/officeDocument/2006/relationships/hyperlink" Target="https://doi.org/10.1042/BST20180342" TargetMode="External"/><Relationship Id="rId27" Type="http://schemas.openxmlformats.org/officeDocument/2006/relationships/hyperlink" Target="https://doi.org/10.1016/j.cep.2015.02.004" TargetMode="External"/><Relationship Id="rId30" Type="http://schemas.openxmlformats.org/officeDocument/2006/relationships/hyperlink" Target="https://doi.org/10.1007/s11104-008-9833-8" TargetMode="External"/><Relationship Id="rId35" Type="http://schemas.openxmlformats.org/officeDocument/2006/relationships/hyperlink" Target="https://doi.org/10.1039/D2EM00036A" TargetMode="External"/><Relationship Id="rId43" Type="http://schemas.openxmlformats.org/officeDocument/2006/relationships/hyperlink" Target="https://doi.org/10.1002/jctb.7092" TargetMode="External"/><Relationship Id="rId48" Type="http://schemas.openxmlformats.org/officeDocument/2006/relationships/hyperlink" Target="https://doi.org/10.1038/s41579-019-0173-x" TargetMode="External"/><Relationship Id="rId56" Type="http://schemas.openxmlformats.org/officeDocument/2006/relationships/hyperlink" Target="https://doi.org/10.1128/AEM.67.5.2255-2262.2001" TargetMode="External"/><Relationship Id="rId64" Type="http://schemas.openxmlformats.org/officeDocument/2006/relationships/hyperlink" Target="https://doi.org/10.3389/fmicb.2019.01817" TargetMode="External"/><Relationship Id="rId69" Type="http://schemas.openxmlformats.org/officeDocument/2006/relationships/hyperlink" Target="https://doi.org/10.1007/0-387-29298-5_135" TargetMode="External"/><Relationship Id="rId77"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hyperlink" Target="https://github.com/joey711/phyloseq%20" TargetMode="External"/><Relationship Id="rId72" Type="http://schemas.openxmlformats.org/officeDocument/2006/relationships/hyperlink" Target="https://doi.org/10.1051/agro:2006007"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yperlink" Target="https://doi.org/10.57745/ONNGWZ" TargetMode="External"/><Relationship Id="rId25" Type="http://schemas.openxmlformats.org/officeDocument/2006/relationships/hyperlink" Target="%20https:/doi.org/10.1002/9781119724995.ch20" TargetMode="External"/><Relationship Id="rId33" Type="http://schemas.openxmlformats.org/officeDocument/2006/relationships/hyperlink" Target="https://doi.org/10.1016/0038-0717(73)90093-X" TargetMode="External"/><Relationship Id="rId38" Type="http://schemas.openxmlformats.org/officeDocument/2006/relationships/hyperlink" Target="https://doi.org/10.1002/anie.201305812" TargetMode="External"/><Relationship Id="rId46" Type="http://schemas.openxmlformats.org/officeDocument/2006/relationships/hyperlink" Target="https://doi.org/10.1080/09593330.2010.517220" TargetMode="External"/><Relationship Id="rId59" Type="http://schemas.openxmlformats.org/officeDocument/2006/relationships/hyperlink" Target="https://doi.org/10.1016/j.apsoil.2012.01.006" TargetMode="External"/><Relationship Id="rId67" Type="http://schemas.openxmlformats.org/officeDocument/2006/relationships/hyperlink" Target="%20https:/www.tidyverse.org/" TargetMode="External"/><Relationship Id="rId20" Type="http://schemas.openxmlformats.org/officeDocument/2006/relationships/hyperlink" Target="https://doi.org/10.1071/bi9701015" TargetMode="External"/><Relationship Id="rId41" Type="http://schemas.openxmlformats.org/officeDocument/2006/relationships/hyperlink" Target="https://doi.org/10.1021/bi00168a001" TargetMode="External"/><Relationship Id="rId54" Type="http://schemas.openxmlformats.org/officeDocument/2006/relationships/hyperlink" Target="https://doi.org/10.1007/BF00011308" TargetMode="External"/><Relationship Id="rId62" Type="http://schemas.openxmlformats.org/officeDocument/2006/relationships/hyperlink" Target="https://doi.org/10.1016/j.biortech.2015.06.076" TargetMode="External"/><Relationship Id="rId70" Type="http://schemas.openxmlformats.org/officeDocument/2006/relationships/hyperlink" Target="https://doi.org/10.1002/eng2.12347" TargetMode="External"/><Relationship Id="rId75" Type="http://schemas.openxmlformats.org/officeDocument/2006/relationships/hyperlink" Target="%20https:/doi.org/10.1016/j.bioelechem.2021.1080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doi.org/10.1146/annurev.nu.13.070193.001533" TargetMode="External"/><Relationship Id="rId28" Type="http://schemas.openxmlformats.org/officeDocument/2006/relationships/hyperlink" Target="https://doi.org/10.1016/j.joule.2018.04.014" TargetMode="External"/><Relationship Id="rId36" Type="http://schemas.openxmlformats.org/officeDocument/2006/relationships/hyperlink" Target="https://doi.org/10.1021/acs.est.9b06755" TargetMode="External"/><Relationship Id="rId49" Type="http://schemas.openxmlformats.org/officeDocument/2006/relationships/hyperlink" Target="https://doi.org/10.1016/j.chempr.2018.10.010" TargetMode="External"/><Relationship Id="rId57" Type="http://schemas.openxmlformats.org/officeDocument/2006/relationships/hyperlink" Target="https://doi.org/10.1099/00221287-63-1-137" TargetMode="External"/><Relationship Id="rId10" Type="http://schemas.openxmlformats.org/officeDocument/2006/relationships/image" Target="media/image3.tiff"/><Relationship Id="rId31" Type="http://schemas.openxmlformats.org/officeDocument/2006/relationships/hyperlink" Target="https://doi.org/10.1371/journal.pone.0042149" TargetMode="External"/><Relationship Id="rId44" Type="http://schemas.openxmlformats.org/officeDocument/2006/relationships/hyperlink" Target="https://doi.org/10.1002/cssc.202000487" TargetMode="External"/><Relationship Id="rId52" Type="http://schemas.openxmlformats.org/officeDocument/2006/relationships/hyperlink" Target="https://doi.org/10.1007/978-3-030-10961-5_21" TargetMode="External"/><Relationship Id="rId60" Type="http://schemas.openxmlformats.org/officeDocument/2006/relationships/hyperlink" Target="https://doi.org/10.1016/j.elecom.2009.07.008" TargetMode="External"/><Relationship Id="rId65" Type="http://schemas.openxmlformats.org/officeDocument/2006/relationships/hyperlink" Target="%20https:/doi.org/10.1093/nar/gku1201" TargetMode="External"/><Relationship Id="rId73" Type="http://schemas.openxmlformats.org/officeDocument/2006/relationships/hyperlink" Target="https://doi.org/10.1016/j.jcou.2022.101997"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hyperlink" Target="https://www.frontiersin.org/article/10.3389/fmicb.2013.00362" TargetMode="External"/><Relationship Id="rId39" Type="http://schemas.openxmlformats.org/officeDocument/2006/relationships/hyperlink" Target="https://doi.org/10.1016/j.geoderma.2016.02.019" TargetMode="External"/><Relationship Id="rId34" Type="http://schemas.openxmlformats.org/officeDocument/2006/relationships/hyperlink" Target="https://doi.org/10.1128/aem.50.5.1251-1257.1985" TargetMode="External"/><Relationship Id="rId50" Type="http://schemas.openxmlformats.org/officeDocument/2006/relationships/hyperlink" Target="%20https:/doi.org/10.1093/aob/mcq028" TargetMode="External"/><Relationship Id="rId55" Type="http://schemas.openxmlformats.org/officeDocument/2006/relationships/hyperlink" Target="https://www.frontiersin.org/articles/10.3389/fmicb.2017.01187"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3389/fmicb.2018.03096" TargetMode="External"/><Relationship Id="rId2" Type="http://schemas.openxmlformats.org/officeDocument/2006/relationships/numbering" Target="numbering.xml"/><Relationship Id="rId29" Type="http://schemas.openxmlformats.org/officeDocument/2006/relationships/hyperlink" Target="https://doi.org/10.1186/1471-2164-13-16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BF1F7-E68E-41AC-8F31-BA057CB0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48822</Words>
  <Characters>268524</Characters>
  <Application>Microsoft Office Word</Application>
  <DocSecurity>0</DocSecurity>
  <Lines>2237</Lines>
  <Paragraphs>633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guillemaud</dc:creator>
  <cp:keywords/>
  <dc:description/>
  <cp:lastModifiedBy>Nicolas Bernet</cp:lastModifiedBy>
  <cp:revision>3</cp:revision>
  <cp:lastPrinted>2018-09-19T13:34:00Z</cp:lastPrinted>
  <dcterms:created xsi:type="dcterms:W3CDTF">2023-06-22T19:53:00Z</dcterms:created>
  <dcterms:modified xsi:type="dcterms:W3CDTF">2023-06-22T19:53:00Z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zotero-version="6.0.14"&gt;&lt;session id="zRPfukZ7"/&gt;&lt;style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